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82" w:type="dxa"/>
        <w:tblLook w:val="01E0" w:firstRow="1" w:lastRow="1" w:firstColumn="1" w:lastColumn="1" w:noHBand="0" w:noVBand="0"/>
      </w:tblPr>
      <w:tblGrid>
        <w:gridCol w:w="1529"/>
        <w:gridCol w:w="628"/>
        <w:gridCol w:w="396"/>
        <w:gridCol w:w="1752"/>
        <w:gridCol w:w="529"/>
        <w:gridCol w:w="506"/>
        <w:gridCol w:w="585"/>
        <w:gridCol w:w="586"/>
        <w:gridCol w:w="1961"/>
        <w:gridCol w:w="1710"/>
      </w:tblGrid>
      <w:tr w:rsidR="00E33173">
        <w:trPr>
          <w:trHeight w:val="1210"/>
        </w:trPr>
        <w:tc>
          <w:tcPr>
            <w:tcW w:w="10182" w:type="dxa"/>
            <w:gridSpan w:val="10"/>
          </w:tcPr>
          <w:p w:rsidR="00E33173" w:rsidRDefault="003C690B">
            <w:pPr>
              <w:jc w:val="center"/>
              <w:rPr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inline distT="0" distB="0" distL="0" distR="0">
                  <wp:extent cx="4572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30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919ja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BAAAAAAAAAAAAAAAAAAAAAAAAAAAAAAAAAAAA0AIAAHQE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723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3173">
        <w:trPr>
          <w:trHeight w:val="1336"/>
        </w:trPr>
        <w:tc>
          <w:tcPr>
            <w:tcW w:w="10182" w:type="dxa"/>
            <w:gridSpan w:val="10"/>
          </w:tcPr>
          <w:p w:rsidR="00E33173" w:rsidRDefault="003C690B">
            <w:pPr>
              <w:jc w:val="center"/>
              <w:rPr>
                <w:b/>
                <w:caps/>
                <w:sz w:val="28"/>
                <w:szCs w:val="28"/>
                <w:lang w:eastAsia="ru-RU"/>
              </w:rPr>
            </w:pPr>
            <w:bookmarkStart w:id="1" w:name="r06"/>
            <w:r>
              <w:rPr>
                <w:b/>
                <w:caps/>
                <w:sz w:val="28"/>
                <w:szCs w:val="28"/>
                <w:lang w:eastAsia="ru-RU"/>
              </w:rPr>
              <w:t>КЕМЕРОВСКАЯ ОБЛАСТЬ-КУЗБАСС</w:t>
            </w:r>
          </w:p>
          <w:p w:rsidR="00E33173" w:rsidRDefault="003C690B">
            <w:pPr>
              <w:jc w:val="center"/>
              <w:rPr>
                <w:b/>
                <w:caps/>
                <w:sz w:val="28"/>
                <w:szCs w:val="28"/>
                <w:lang w:eastAsia="ru-RU"/>
              </w:rPr>
            </w:pPr>
            <w:r>
              <w:rPr>
                <w:b/>
                <w:caps/>
                <w:sz w:val="28"/>
                <w:szCs w:val="28"/>
                <w:lang w:eastAsia="ru-RU"/>
              </w:rPr>
              <w:t>Анжеро-Судженский городской округ</w:t>
            </w:r>
          </w:p>
          <w:p w:rsidR="00E33173" w:rsidRDefault="003C690B">
            <w:pPr>
              <w:jc w:val="center"/>
              <w:rPr>
                <w:b/>
                <w:caps/>
                <w:sz w:val="28"/>
                <w:szCs w:val="28"/>
                <w:lang w:eastAsia="ru-RU"/>
              </w:rPr>
            </w:pPr>
            <w:r>
              <w:rPr>
                <w:b/>
                <w:caps/>
                <w:sz w:val="28"/>
                <w:szCs w:val="28"/>
                <w:lang w:eastAsia="ru-RU"/>
              </w:rPr>
              <w:t>Администрация Анжеро-Судженского</w:t>
            </w:r>
            <w:bookmarkEnd w:id="1"/>
            <w:r>
              <w:rPr>
                <w:b/>
                <w:caps/>
                <w:sz w:val="28"/>
                <w:szCs w:val="28"/>
                <w:lang w:eastAsia="ru-RU"/>
              </w:rPr>
              <w:t xml:space="preserve"> городского округа</w:t>
            </w:r>
          </w:p>
          <w:p w:rsidR="00E33173" w:rsidRDefault="00E33173">
            <w:pPr>
              <w:jc w:val="center"/>
              <w:rPr>
                <w:rFonts w:ascii="Arial Narrow" w:hAnsi="Arial Narrow"/>
                <w:b/>
                <w:caps/>
                <w:sz w:val="26"/>
                <w:szCs w:val="26"/>
                <w:lang w:eastAsia="ru-RU"/>
              </w:rPr>
            </w:pPr>
          </w:p>
        </w:tc>
      </w:tr>
      <w:tr w:rsidR="00E33173">
        <w:trPr>
          <w:trHeight w:val="493"/>
        </w:trPr>
        <w:tc>
          <w:tcPr>
            <w:tcW w:w="10182" w:type="dxa"/>
            <w:gridSpan w:val="10"/>
          </w:tcPr>
          <w:p w:rsidR="00E33173" w:rsidRDefault="003C690B">
            <w:pPr>
              <w:jc w:val="center"/>
              <w:rPr>
                <w:rFonts w:ascii="Arial Narrow" w:hAnsi="Arial Narrow"/>
                <w:b/>
                <w:caps/>
                <w:sz w:val="24"/>
                <w:szCs w:val="24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E33173">
        <w:trPr>
          <w:trHeight w:val="267"/>
        </w:trPr>
        <w:tc>
          <w:tcPr>
            <w:tcW w:w="10182" w:type="dxa"/>
            <w:gridSpan w:val="10"/>
          </w:tcPr>
          <w:p w:rsidR="00E33173" w:rsidRDefault="00E33173">
            <w:pPr>
              <w:rPr>
                <w:sz w:val="16"/>
                <w:szCs w:val="16"/>
                <w:lang w:eastAsia="ru-RU"/>
              </w:rPr>
            </w:pPr>
          </w:p>
        </w:tc>
      </w:tr>
      <w:tr w:rsidR="00E33173">
        <w:trPr>
          <w:trHeight w:val="339"/>
        </w:trPr>
        <w:tc>
          <w:tcPr>
            <w:tcW w:w="1529" w:type="dxa"/>
          </w:tcPr>
          <w:p w:rsidR="00E33173" w:rsidRDefault="003C690B">
            <w:pPr>
              <w:ind w:right="33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 «</w:t>
            </w:r>
          </w:p>
        </w:tc>
        <w:tc>
          <w:tcPr>
            <w:tcW w:w="628" w:type="dxa"/>
            <w:tcBorders>
              <w:bottom w:val="single" w:sz="4" w:space="0" w:color="000000"/>
            </w:tcBorders>
          </w:tcPr>
          <w:p w:rsidR="00E33173" w:rsidRDefault="003C690B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96" w:type="dxa"/>
          </w:tcPr>
          <w:p w:rsidR="00E33173" w:rsidRDefault="003C690B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52" w:type="dxa"/>
            <w:tcBorders>
              <w:bottom w:val="single" w:sz="4" w:space="0" w:color="000000"/>
            </w:tcBorders>
          </w:tcPr>
          <w:p w:rsidR="00E33173" w:rsidRDefault="003C690B">
            <w:pPr>
              <w:jc w:val="center"/>
              <w:rPr>
                <w:sz w:val="28"/>
                <w:szCs w:val="28"/>
                <w:lang w:eastAsia="ru-RU"/>
              </w:rPr>
            </w:pPr>
            <w:bookmarkStart w:id="2" w:name="r09m"/>
            <w:r>
              <w:rPr>
                <w:sz w:val="28"/>
                <w:szCs w:val="28"/>
                <w:lang w:eastAsia="ru-RU"/>
              </w:rPr>
              <w:t xml:space="preserve"> июня  </w:t>
            </w:r>
            <w:bookmarkEnd w:id="2"/>
          </w:p>
        </w:tc>
        <w:tc>
          <w:tcPr>
            <w:tcW w:w="529" w:type="dxa"/>
          </w:tcPr>
          <w:p w:rsidR="00E33173" w:rsidRDefault="003C690B">
            <w:pPr>
              <w:ind w:right="-76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06" w:type="dxa"/>
            <w:tcBorders>
              <w:bottom w:val="single" w:sz="4" w:space="0" w:color="000000"/>
            </w:tcBorders>
          </w:tcPr>
          <w:p w:rsidR="00E33173" w:rsidRDefault="003C690B">
            <w:pPr>
              <w:ind w:right="-152"/>
              <w:rPr>
                <w:sz w:val="28"/>
                <w:szCs w:val="28"/>
                <w:lang w:eastAsia="ru-RU"/>
              </w:rPr>
            </w:pPr>
            <w:bookmarkStart w:id="3" w:name="r09y"/>
            <w:r>
              <w:rPr>
                <w:sz w:val="28"/>
                <w:szCs w:val="28"/>
                <w:lang w:eastAsia="ru-RU"/>
              </w:rPr>
              <w:t xml:space="preserve"> </w:t>
            </w:r>
            <w:bookmarkEnd w:id="3"/>
            <w:r>
              <w:rPr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85" w:type="dxa"/>
          </w:tcPr>
          <w:p w:rsidR="00E33173" w:rsidRDefault="003C690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586" w:type="dxa"/>
          </w:tcPr>
          <w:p w:rsidR="00E33173" w:rsidRDefault="003C690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961" w:type="dxa"/>
            <w:tcBorders>
              <w:bottom w:val="single" w:sz="4" w:space="0" w:color="000000"/>
            </w:tcBorders>
          </w:tcPr>
          <w:p w:rsidR="00E33173" w:rsidRDefault="003C690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688</w:t>
            </w:r>
          </w:p>
        </w:tc>
        <w:tc>
          <w:tcPr>
            <w:tcW w:w="1710" w:type="dxa"/>
          </w:tcPr>
          <w:p w:rsidR="00E33173" w:rsidRDefault="00E33173">
            <w:pPr>
              <w:rPr>
                <w:sz w:val="28"/>
                <w:szCs w:val="28"/>
                <w:lang w:eastAsia="ru-RU"/>
              </w:rPr>
            </w:pPr>
          </w:p>
        </w:tc>
      </w:tr>
      <w:tr w:rsidR="00E33173">
        <w:trPr>
          <w:trHeight w:val="371"/>
        </w:trPr>
        <w:tc>
          <w:tcPr>
            <w:tcW w:w="10182" w:type="dxa"/>
            <w:gridSpan w:val="10"/>
          </w:tcPr>
          <w:p w:rsidR="00E33173" w:rsidRDefault="00E33173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:rsidR="00E33173" w:rsidRDefault="00E33173">
      <w:pPr>
        <w:jc w:val="center"/>
        <w:rPr>
          <w:b/>
          <w:sz w:val="28"/>
          <w:szCs w:val="28"/>
          <w:u w:val="single"/>
        </w:rPr>
      </w:pPr>
    </w:p>
    <w:p w:rsidR="00E33173" w:rsidRDefault="003C690B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jc w:val="center"/>
        <w:rPr>
          <w:b/>
          <w:color w:val="34343C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</w:rPr>
        <w:t xml:space="preserve">Об организации работ </w:t>
      </w:r>
      <w:r>
        <w:rPr>
          <w:b/>
          <w:color w:val="34343C"/>
          <w:sz w:val="28"/>
          <w:szCs w:val="28"/>
          <w:lang w:eastAsia="ru-RU"/>
        </w:rPr>
        <w:t>по оценке обеспечения</w:t>
      </w:r>
    </w:p>
    <w:p w:rsidR="00E33173" w:rsidRDefault="003C690B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jc w:val="center"/>
        <w:rPr>
          <w:b/>
          <w:sz w:val="28"/>
          <w:szCs w:val="28"/>
        </w:rPr>
      </w:pPr>
      <w:r>
        <w:rPr>
          <w:b/>
          <w:color w:val="34343C"/>
          <w:sz w:val="28"/>
          <w:szCs w:val="28"/>
          <w:lang w:eastAsia="ru-RU"/>
        </w:rPr>
        <w:t xml:space="preserve">готовности к отопительному периоду 2025-2026 годов теплоснабжающих и теплосетевых организаций, потребителей тепловой энергии на территории </w:t>
      </w:r>
      <w:r>
        <w:rPr>
          <w:b/>
          <w:color w:val="000000"/>
          <w:sz w:val="28"/>
          <w:szCs w:val="28"/>
        </w:rPr>
        <w:t>Анжеро-Судженского городского округа</w:t>
      </w:r>
    </w:p>
    <w:p w:rsidR="00E33173" w:rsidRDefault="00E33173">
      <w:pPr>
        <w:rPr>
          <w:b/>
          <w:sz w:val="28"/>
          <w:szCs w:val="28"/>
        </w:rPr>
      </w:pPr>
    </w:p>
    <w:p w:rsidR="00E33173" w:rsidRDefault="003C690B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firstLine="708"/>
        <w:jc w:val="both"/>
        <w:rPr>
          <w:color w:val="34343C"/>
          <w:sz w:val="28"/>
          <w:szCs w:val="28"/>
          <w:lang w:eastAsia="ru-RU"/>
        </w:rPr>
      </w:pPr>
      <w:r>
        <w:rPr>
          <w:sz w:val="28"/>
          <w:szCs w:val="28"/>
        </w:rPr>
        <w:t>В целях оценки готовности к отопительному периоду согласно статье 20 Федерально</w:t>
      </w:r>
      <w:r>
        <w:rPr>
          <w:sz w:val="28"/>
          <w:szCs w:val="28"/>
        </w:rPr>
        <w:t>го закона от 27.07.2010 № 190-ФЗ «О теплоснабжении», с Федеральным законом от 06.10.2003 № 131-ФЗ «Об общих принципах организации местного самоуправления в РФ»,</w:t>
      </w:r>
      <w:r>
        <w:rPr>
          <w:rFonts w:ascii="Calibri" w:hAnsi="Calibri" w:cs="Calibri"/>
          <w:color w:val="34343C"/>
          <w:sz w:val="23"/>
          <w:szCs w:val="23"/>
          <w:lang w:eastAsia="ru-RU"/>
        </w:rPr>
        <w:t xml:space="preserve"> </w:t>
      </w:r>
      <w:r>
        <w:rPr>
          <w:color w:val="34343C"/>
          <w:sz w:val="28"/>
          <w:szCs w:val="28"/>
          <w:lang w:eastAsia="ru-RU"/>
        </w:rPr>
        <w:t xml:space="preserve">Приказом Минэнерго России от 13.11.2024г. № 2234 «Об утверждении Правил обеспечения готовности </w:t>
      </w:r>
      <w:r>
        <w:rPr>
          <w:color w:val="34343C"/>
          <w:sz w:val="28"/>
          <w:szCs w:val="28"/>
          <w:lang w:eastAsia="ru-RU"/>
        </w:rPr>
        <w:t>к отопительному периоду и Порядка проведения оценки обеспечения готовности к отопительному периоду»:</w:t>
      </w:r>
    </w:p>
    <w:p w:rsidR="00E33173" w:rsidRDefault="003C690B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right="-6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r>
        <w:rPr>
          <w:rFonts w:eastAsia="Calibri"/>
          <w:sz w:val="28"/>
          <w:szCs w:val="28"/>
          <w:lang w:eastAsia="en-US"/>
        </w:rPr>
        <w:t xml:space="preserve">Создать комиссию по проведению оценки обеспечения готовности к отопительному периоду 2025-2026 годов </w:t>
      </w:r>
      <w:r>
        <w:rPr>
          <w:sz w:val="28"/>
          <w:szCs w:val="28"/>
        </w:rPr>
        <w:t>теплосетевых, теплоснабжающих организаций, потребит</w:t>
      </w:r>
      <w:r>
        <w:rPr>
          <w:sz w:val="28"/>
          <w:szCs w:val="28"/>
        </w:rPr>
        <w:t>елей тепловой энергии</w:t>
      </w:r>
      <w:r>
        <w:rPr>
          <w:rFonts w:eastAsia="Calibri"/>
          <w:sz w:val="28"/>
          <w:szCs w:val="28"/>
          <w:lang w:eastAsia="en-US"/>
        </w:rPr>
        <w:t xml:space="preserve"> на территории Анжеро-Судженского городского округа (далее Комиссия) (приложение № 1).</w:t>
      </w:r>
    </w:p>
    <w:p w:rsidR="00E33173" w:rsidRDefault="003C690B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right="-6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rFonts w:eastAsia="Calibri"/>
          <w:sz w:val="28"/>
          <w:szCs w:val="28"/>
          <w:lang w:eastAsia="en-US"/>
        </w:rPr>
        <w:t>Установить, что Комиссия осуществляет оценку обеспечения готовности к отопительному периоду следующих лиц:</w:t>
      </w:r>
    </w:p>
    <w:p w:rsidR="00E33173" w:rsidRDefault="003C690B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right="-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-     теплоснабжающих, теплосетевых организаций; </w:t>
      </w:r>
    </w:p>
    <w:p w:rsidR="00E33173" w:rsidRDefault="003C690B">
      <w:pPr>
        <w:tabs>
          <w:tab w:val="left" w:pos="851"/>
        </w:tabs>
        <w:contextualSpacing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en-US"/>
        </w:rPr>
        <w:t xml:space="preserve">      -  потребителей тепловой энергии, теплопотребляющие</w:t>
      </w:r>
      <w:r>
        <w:rPr>
          <w:rFonts w:eastAsia="SimSun"/>
          <w:sz w:val="28"/>
          <w:szCs w:val="28"/>
          <w:lang w:eastAsia="ru-RU"/>
        </w:rPr>
        <w:t xml:space="preserve"> установки которых подключены (технологически присоединены) к системе теплоснабжения и которые приобретают тепловую энергию (мощность), теплон</w:t>
      </w:r>
      <w:r>
        <w:rPr>
          <w:rFonts w:eastAsia="SimSun"/>
          <w:sz w:val="28"/>
          <w:szCs w:val="28"/>
          <w:lang w:eastAsia="ru-RU"/>
        </w:rPr>
        <w:t>оситель для использования на принадлежащих им на праве собственности или ином законном основании теплопотребляющих установках;</w:t>
      </w:r>
    </w:p>
    <w:p w:rsidR="00E33173" w:rsidRDefault="003C690B">
      <w:pPr>
        <w:tabs>
          <w:tab w:val="left" w:pos="851"/>
        </w:tabs>
        <w:contextualSpacing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 xml:space="preserve"> -</w:t>
      </w:r>
      <w:r>
        <w:rPr>
          <w:rFonts w:eastAsia="SimSun"/>
          <w:sz w:val="28"/>
          <w:szCs w:val="28"/>
          <w:lang w:eastAsia="ru-RU"/>
        </w:rPr>
        <w:tab/>
        <w:t xml:space="preserve"> в отношении теплопотребляющих установок, инженерных коммуникаций (в том числе тепловых сетей при наличии таких сетей), принад</w:t>
      </w:r>
      <w:r>
        <w:rPr>
          <w:rFonts w:eastAsia="SimSun"/>
          <w:sz w:val="28"/>
          <w:szCs w:val="28"/>
          <w:lang w:eastAsia="ru-RU"/>
        </w:rPr>
        <w:t xml:space="preserve">лежащих указанным лицам на праве собственности или ином законном основании, за исключением </w:t>
      </w:r>
      <w:r>
        <w:rPr>
          <w:rFonts w:eastAsia="SimSun"/>
          <w:sz w:val="28"/>
          <w:szCs w:val="28"/>
          <w:lang w:eastAsia="ru-RU"/>
        </w:rPr>
        <w:lastRenderedPageBreak/>
        <w:t>теплопотребляющих установок и инженерных коммуникаций жилых домов (домовладений);</w:t>
      </w:r>
    </w:p>
    <w:p w:rsidR="00E33173" w:rsidRDefault="003C690B">
      <w:pPr>
        <w:widowControl w:val="0"/>
        <w:tabs>
          <w:tab w:val="left" w:pos="851"/>
        </w:tabs>
        <w:contextualSpacing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ab/>
        <w:t>-управляющих организаций - в части теплопотребляющих установок, инженерных коммуни</w:t>
      </w:r>
      <w:r>
        <w:rPr>
          <w:rFonts w:eastAsia="SimSun"/>
          <w:sz w:val="28"/>
          <w:szCs w:val="28"/>
          <w:lang w:eastAsia="ru-RU"/>
        </w:rPr>
        <w:t>каций (в том числе тепловые сети при наличии таких сетей) и иного общедомового имущества, обслуживающего более одного жилого и (или) нежилого помещения в многоквартирном доме (в том числе котельные, бойлерные, элеваторные узлы), обязанность по содержанию и</w:t>
      </w:r>
      <w:r>
        <w:rPr>
          <w:rFonts w:eastAsia="SimSun"/>
          <w:sz w:val="28"/>
          <w:szCs w:val="28"/>
          <w:lang w:eastAsia="ru-RU"/>
        </w:rPr>
        <w:t xml:space="preserve"> (или) техническому обслуживанию, и (или) ремонту, и (или) эксплуатации которого возложена на соответствующих лиц договором либо требованиями статьи 161 Жилищного кодекса Российской Федерации;</w:t>
      </w:r>
    </w:p>
    <w:p w:rsidR="00E33173" w:rsidRDefault="003C690B">
      <w:pPr>
        <w:widowControl w:val="0"/>
        <w:tabs>
          <w:tab w:val="left" w:pos="851"/>
        </w:tabs>
        <w:contextualSpacing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ab/>
        <w:t>-лиц, с которыми в соответствии с частью 1 статьи 164 Жилищног</w:t>
      </w:r>
      <w:r>
        <w:rPr>
          <w:rFonts w:eastAsia="SimSun"/>
          <w:sz w:val="28"/>
          <w:szCs w:val="28"/>
          <w:lang w:eastAsia="ru-RU"/>
        </w:rPr>
        <w:t>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</w:t>
      </w:r>
      <w:r>
        <w:rPr>
          <w:rFonts w:eastAsia="SimSun"/>
          <w:sz w:val="28"/>
          <w:szCs w:val="28"/>
          <w:lang w:eastAsia="ru-RU"/>
        </w:rPr>
        <w:t>ия в многоквартирном доме, или председателя совета многоквартирного дома в случае, если собственниками помещений в многоквартирном доме не принято решение о заключении таких договоров, или муниципальными образованиями в случае, если способ управления много</w:t>
      </w:r>
      <w:r>
        <w:rPr>
          <w:rFonts w:eastAsia="SimSun"/>
          <w:sz w:val="28"/>
          <w:szCs w:val="28"/>
          <w:lang w:eastAsia="ru-RU"/>
        </w:rPr>
        <w:t xml:space="preserve">квартирным домом не выбран или выбранный способ управления не реализован, - в части теплопотребляющих установок, инженерных коммуникаций (в том числе тепловые сети при наличии таких сетей) и иного общедомового имущества, обслуживающего более одного жилого </w:t>
      </w:r>
      <w:r>
        <w:rPr>
          <w:rFonts w:eastAsia="SimSun"/>
          <w:sz w:val="28"/>
          <w:szCs w:val="28"/>
          <w:lang w:eastAsia="ru-RU"/>
        </w:rPr>
        <w:t>и (или) нежилого помещения в многоквартирном доме (в том числе котельные, бойлерные, элеваторные узлы), обязанность по содержанию и (или) техническому обслуживанию, и (или) ремонту, и (или) эксплуатации которого возложена на соответствующих лиц договором л</w:t>
      </w:r>
      <w:r>
        <w:rPr>
          <w:rFonts w:eastAsia="SimSun"/>
          <w:sz w:val="28"/>
          <w:szCs w:val="28"/>
          <w:lang w:eastAsia="ru-RU"/>
        </w:rPr>
        <w:t>ибо требованиями жилищного законодательства;</w:t>
      </w:r>
    </w:p>
    <w:p w:rsidR="00E33173" w:rsidRDefault="003C690B">
      <w:pPr>
        <w:widowControl w:val="0"/>
        <w:tabs>
          <w:tab w:val="left" w:pos="851"/>
        </w:tabs>
        <w:contextualSpacing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ab/>
        <w:t>-владельцев тепловых сетей, которые не являются теплосетевыми организациями в соответствии с критериями, установленными пунктами 56(1) и 56(2) Правил организации теплоснабжения в Российской Федерации, утвержден</w:t>
      </w:r>
      <w:r>
        <w:rPr>
          <w:rFonts w:eastAsia="SimSun"/>
          <w:sz w:val="28"/>
          <w:szCs w:val="28"/>
          <w:lang w:eastAsia="ru-RU"/>
        </w:rPr>
        <w:t>ных постановлением Правительства Российской Федерации от 08.08.2012 № 808, и которые осуществляют передачу тепловой энергии потребителям, теплопотребляющие установки которых присоединены к их тепловым сетям, или в сети теплосетевых организаций.</w:t>
      </w:r>
    </w:p>
    <w:p w:rsidR="00E33173" w:rsidRDefault="003C690B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right="-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3</w:t>
      </w:r>
      <w:r>
        <w:rPr>
          <w:rFonts w:eastAsia="Calibri"/>
          <w:sz w:val="28"/>
          <w:szCs w:val="28"/>
          <w:lang w:eastAsia="en-US"/>
        </w:rPr>
        <w:t xml:space="preserve">. Утвердить программу проведения оценки обеспечения готовности к отопительному периоду лиц, указанных в пункте 2 </w:t>
      </w:r>
      <w:r>
        <w:rPr>
          <w:rFonts w:eastAsia="Calibri"/>
          <w:sz w:val="28"/>
          <w:szCs w:val="28"/>
          <w:lang w:eastAsia="en-US"/>
        </w:rPr>
        <w:lastRenderedPageBreak/>
        <w:t>настоящего постановления, изложенную в приложении 2 к настоящему постановлению</w:t>
      </w:r>
    </w:p>
    <w:p w:rsidR="00E33173" w:rsidRDefault="003C690B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right="-6"/>
        <w:jc w:val="both"/>
        <w:rPr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>
        <w:rPr>
          <w:sz w:val="28"/>
          <w:szCs w:val="28"/>
        </w:rPr>
        <w:t xml:space="preserve">4.Опубликовать настоящее постановление в массовой газете </w:t>
      </w:r>
      <w:r>
        <w:rPr>
          <w:sz w:val="28"/>
          <w:szCs w:val="28"/>
        </w:rPr>
        <w:t xml:space="preserve">Анжеро-Судженского городского округа «Наш город» и на официальном сайте Анжеро-Судженского городского округа в информационно-телекоммуникационной сети «Интернет», электронный адрес </w:t>
      </w:r>
      <w:hyperlink r:id="rId8" w:history="1">
        <w:r>
          <w:rPr>
            <w:rStyle w:val="ad"/>
            <w:color w:val="auto"/>
            <w:sz w:val="28"/>
            <w:szCs w:val="28"/>
          </w:rPr>
          <w:t>www.anzhero.ru</w:t>
        </w:r>
      </w:hyperlink>
      <w:r>
        <w:rPr>
          <w:sz w:val="28"/>
          <w:szCs w:val="28"/>
        </w:rPr>
        <w:t>.</w:t>
      </w:r>
    </w:p>
    <w:p w:rsidR="00E33173" w:rsidRDefault="003C690B">
      <w:pPr>
        <w:tabs>
          <w:tab w:val="left" w:pos="1134"/>
        </w:tabs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5.Настоящие </w:t>
      </w:r>
      <w:r>
        <w:rPr>
          <w:sz w:val="28"/>
          <w:szCs w:val="28"/>
          <w:lang w:eastAsia="ru-RU"/>
        </w:rPr>
        <w:t>постановление вступает в силу после его официального опубликования.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2" behindDoc="0" locked="0" layoutInCell="0" hidden="0" allowOverlap="1">
            <wp:simplePos x="0" y="0"/>
            <wp:positionH relativeFrom="page">
              <wp:posOffset>3591560</wp:posOffset>
            </wp:positionH>
            <wp:positionV relativeFrom="page">
              <wp:posOffset>9149715</wp:posOffset>
            </wp:positionV>
            <wp:extent cx="1390650" cy="1390650"/>
            <wp:effectExtent l="0" t="0" r="0" b="0"/>
            <wp:wrapSquare wrapText="bothSides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919ja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RAAAAAIIAAAAAAAAAAAAAAAAAAAAAAAAYFgAAAAAAAAAAAABJOAAAjggAAI4IAAABAAAAGBYAAEk4AAAoAAAACAAAAAEAAAABAAAA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6. Контроль за исполнением настоящего постановления возложить на заместителя главы Анжеро-Судженского городского округа по жилищно-коммунальному хозяйству Хамидулина Э.Р.</w:t>
      </w:r>
    </w:p>
    <w:p w:rsidR="00E33173" w:rsidRDefault="00E33173">
      <w:pPr>
        <w:tabs>
          <w:tab w:val="left" w:pos="0"/>
        </w:tabs>
        <w:jc w:val="both"/>
        <w:rPr>
          <w:sz w:val="28"/>
          <w:szCs w:val="28"/>
        </w:rPr>
      </w:pPr>
    </w:p>
    <w:p w:rsidR="00E33173" w:rsidRDefault="003C6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color w:val="000000"/>
          <w:sz w:val="28"/>
          <w:szCs w:val="28"/>
        </w:rPr>
        <w:t>Анжеро-Су</w:t>
      </w:r>
      <w:r>
        <w:rPr>
          <w:color w:val="000000"/>
          <w:sz w:val="28"/>
          <w:szCs w:val="28"/>
        </w:rPr>
        <w:t xml:space="preserve">дженского </w:t>
      </w:r>
    </w:p>
    <w:p w:rsidR="00E33173" w:rsidRDefault="003C690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</w:t>
      </w:r>
      <w:r>
        <w:rPr>
          <w:sz w:val="28"/>
          <w:szCs w:val="28"/>
        </w:rPr>
        <w:tab/>
        <w:t xml:space="preserve">                                                                Д.В.Ажичаков</w:t>
      </w:r>
    </w:p>
    <w:p w:rsidR="00E33173" w:rsidRDefault="00E33173">
      <w:pPr>
        <w:rPr>
          <w:sz w:val="28"/>
          <w:szCs w:val="28"/>
        </w:rPr>
      </w:pPr>
    </w:p>
    <w:p w:rsidR="00E33173" w:rsidRDefault="00E33173">
      <w:pPr>
        <w:rPr>
          <w:sz w:val="28"/>
          <w:szCs w:val="28"/>
        </w:rPr>
      </w:pPr>
    </w:p>
    <w:p w:rsidR="00E33173" w:rsidRDefault="00E33173">
      <w:pPr>
        <w:tabs>
          <w:tab w:val="left" w:pos="567"/>
          <w:tab w:val="left" w:pos="7655"/>
        </w:tabs>
        <w:jc w:val="right"/>
        <w:rPr>
          <w:sz w:val="28"/>
          <w:szCs w:val="28"/>
        </w:rPr>
      </w:pPr>
    </w:p>
    <w:p w:rsidR="00E33173" w:rsidRDefault="00E33173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</w:p>
    <w:p w:rsidR="00E33173" w:rsidRDefault="003C690B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E33173" w:rsidRDefault="003C690B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E33173" w:rsidRDefault="003C690B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Анжеро-Судженского городского округа</w:t>
      </w:r>
    </w:p>
    <w:p w:rsidR="00E33173" w:rsidRDefault="003C690B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 xml:space="preserve">30 июня 2025г. </w:t>
      </w:r>
      <w:r>
        <w:rPr>
          <w:sz w:val="24"/>
          <w:szCs w:val="24"/>
        </w:rPr>
        <w:t>№  688</w:t>
      </w:r>
    </w:p>
    <w:p w:rsidR="00E33173" w:rsidRDefault="00E33173">
      <w:pPr>
        <w:tabs>
          <w:tab w:val="left" w:pos="567"/>
          <w:tab w:val="left" w:pos="7655"/>
        </w:tabs>
        <w:jc w:val="right"/>
      </w:pPr>
    </w:p>
    <w:p w:rsidR="00E33173" w:rsidRDefault="00E33173">
      <w:pPr>
        <w:tabs>
          <w:tab w:val="left" w:pos="567"/>
          <w:tab w:val="left" w:pos="7655"/>
        </w:tabs>
        <w:jc w:val="right"/>
      </w:pPr>
    </w:p>
    <w:p w:rsidR="00E33173" w:rsidRDefault="003C690B">
      <w:pPr>
        <w:tabs>
          <w:tab w:val="right" w:pos="9921"/>
        </w:tabs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Состав комиссии</w:t>
      </w:r>
    </w:p>
    <w:p w:rsidR="00E33173" w:rsidRDefault="003C690B">
      <w:pPr>
        <w:tabs>
          <w:tab w:val="right" w:pos="9921"/>
        </w:tabs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по проведению оценки обеспечения готовности к отопительному </w:t>
      </w:r>
    </w:p>
    <w:p w:rsidR="00E33173" w:rsidRDefault="003C690B">
      <w:pPr>
        <w:tabs>
          <w:tab w:val="right" w:pos="9921"/>
        </w:tabs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периоду 2025-2026 гг.</w:t>
      </w:r>
    </w:p>
    <w:p w:rsidR="00E33173" w:rsidRDefault="00E33173">
      <w:pPr>
        <w:tabs>
          <w:tab w:val="right" w:pos="9921"/>
        </w:tabs>
        <w:jc w:val="center"/>
        <w:rPr>
          <w:rFonts w:eastAsia="Calibri"/>
          <w:sz w:val="28"/>
          <w:szCs w:val="28"/>
          <w:lang w:eastAsia="ru-RU"/>
        </w:rPr>
      </w:pPr>
    </w:p>
    <w:tbl>
      <w:tblPr>
        <w:tblW w:w="9885" w:type="dxa"/>
        <w:tblLook w:val="04A0" w:firstRow="1" w:lastRow="0" w:firstColumn="1" w:lastColumn="0" w:noHBand="0" w:noVBand="1"/>
      </w:tblPr>
      <w:tblGrid>
        <w:gridCol w:w="2517"/>
        <w:gridCol w:w="142"/>
        <w:gridCol w:w="7226"/>
      </w:tblGrid>
      <w:tr w:rsidR="00E33173">
        <w:tc>
          <w:tcPr>
            <w:tcW w:w="2517" w:type="dxa"/>
          </w:tcPr>
          <w:p w:rsidR="00E33173" w:rsidRDefault="00E33173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E33173" w:rsidRDefault="003C690B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Хамидулин Э.Р.</w:t>
            </w:r>
          </w:p>
          <w:p w:rsidR="00E33173" w:rsidRDefault="00E33173">
            <w:pPr>
              <w:rPr>
                <w:sz w:val="28"/>
                <w:szCs w:val="28"/>
                <w:lang w:eastAsia="ru-RU"/>
              </w:rPr>
            </w:pPr>
          </w:p>
          <w:p w:rsidR="00E33173" w:rsidRDefault="00E33173">
            <w:pPr>
              <w:rPr>
                <w:sz w:val="28"/>
                <w:szCs w:val="28"/>
                <w:lang w:eastAsia="ru-RU"/>
              </w:rPr>
            </w:pPr>
          </w:p>
          <w:p w:rsidR="00E33173" w:rsidRDefault="00E33173">
            <w:pPr>
              <w:rPr>
                <w:sz w:val="28"/>
                <w:szCs w:val="28"/>
                <w:lang w:eastAsia="ru-RU"/>
              </w:rPr>
            </w:pPr>
          </w:p>
          <w:p w:rsidR="00E33173" w:rsidRDefault="00E33173">
            <w:pPr>
              <w:rPr>
                <w:sz w:val="28"/>
                <w:szCs w:val="28"/>
                <w:lang w:eastAsia="ru-RU"/>
              </w:rPr>
            </w:pPr>
          </w:p>
          <w:p w:rsidR="00E33173" w:rsidRDefault="003C690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Масалкин М.С.         </w:t>
            </w:r>
          </w:p>
        </w:tc>
        <w:tc>
          <w:tcPr>
            <w:tcW w:w="7368" w:type="dxa"/>
            <w:gridSpan w:val="2"/>
          </w:tcPr>
          <w:p w:rsidR="00E33173" w:rsidRDefault="003C690B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Председатель комиссии:</w:t>
            </w:r>
          </w:p>
          <w:p w:rsidR="00E33173" w:rsidRDefault="003C690B">
            <w:pPr>
              <w:ind w:firstLine="33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-заместитель главы городского округа по вопросам жилищно-коммунального хозяйства администрации Анжеро-Судж</w:t>
            </w:r>
            <w:r>
              <w:rPr>
                <w:sz w:val="28"/>
                <w:szCs w:val="28"/>
                <w:lang w:eastAsia="ru-RU"/>
              </w:rPr>
              <w:t>енского городского округа</w:t>
            </w:r>
          </w:p>
          <w:p w:rsidR="00E33173" w:rsidRDefault="00E33173">
            <w:pPr>
              <w:ind w:firstLine="33"/>
              <w:jc w:val="both"/>
              <w:rPr>
                <w:sz w:val="28"/>
                <w:szCs w:val="28"/>
                <w:lang w:eastAsia="ru-RU"/>
              </w:rPr>
            </w:pPr>
          </w:p>
          <w:p w:rsidR="00E33173" w:rsidRDefault="003C690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председателя комиссии:</w:t>
            </w:r>
          </w:p>
          <w:p w:rsidR="00E33173" w:rsidRDefault="003C690B">
            <w:pPr>
              <w:ind w:firstLine="33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начальник УЖКХ администрации Анжеро-Судженского городского округа</w:t>
            </w:r>
          </w:p>
          <w:p w:rsidR="00E33173" w:rsidRDefault="00E33173">
            <w:pPr>
              <w:ind w:firstLine="33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E33173">
        <w:tc>
          <w:tcPr>
            <w:tcW w:w="9885" w:type="dxa"/>
            <w:gridSpan w:val="3"/>
          </w:tcPr>
          <w:p w:rsidR="00E33173" w:rsidRDefault="003C690B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            Члены рабочей комиссии:</w:t>
            </w:r>
          </w:p>
          <w:p w:rsidR="00E33173" w:rsidRDefault="00E33173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E33173">
        <w:trPr>
          <w:trHeight w:val="630"/>
        </w:trPr>
        <w:tc>
          <w:tcPr>
            <w:tcW w:w="2659" w:type="dxa"/>
            <w:gridSpan w:val="2"/>
          </w:tcPr>
          <w:p w:rsidR="00E33173" w:rsidRDefault="003C690B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Верещагин С.Н.</w:t>
            </w:r>
          </w:p>
          <w:p w:rsidR="00E33173" w:rsidRDefault="00E33173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6" w:type="dxa"/>
          </w:tcPr>
          <w:tbl>
            <w:tblPr>
              <w:tblW w:w="7335" w:type="dxa"/>
              <w:tblLook w:val="04A0" w:firstRow="1" w:lastRow="0" w:firstColumn="1" w:lastColumn="0" w:noHBand="0" w:noVBand="1"/>
            </w:tblPr>
            <w:tblGrid>
              <w:gridCol w:w="7335"/>
            </w:tblGrid>
            <w:tr w:rsidR="00E33173">
              <w:tc>
                <w:tcPr>
                  <w:tcW w:w="7335" w:type="dxa"/>
                </w:tcPr>
                <w:p w:rsidR="00E33173" w:rsidRDefault="003C690B">
                  <w:pPr>
                    <w:jc w:val="both"/>
                    <w:rPr>
                      <w:sz w:val="28"/>
                      <w:szCs w:val="28"/>
                      <w:lang w:eastAsia="ru-RU"/>
                    </w:rPr>
                  </w:pPr>
                  <w:r>
                    <w:rPr>
                      <w:sz w:val="28"/>
                      <w:szCs w:val="28"/>
                      <w:lang w:eastAsia="ru-RU"/>
                    </w:rPr>
                    <w:t xml:space="preserve">-гос.инспектор </w:t>
                  </w:r>
                  <w:r>
                    <w:rPr>
                      <w:sz w:val="28"/>
                      <w:szCs w:val="28"/>
                      <w:shd w:val="clear" w:color="auto" w:fill="FFFFFF"/>
                      <w:lang w:eastAsia="ru-RU"/>
                    </w:rPr>
                    <w:t xml:space="preserve">«Сибирского управления </w:t>
                  </w:r>
                  <w:r>
                    <w:rPr>
                      <w:sz w:val="28"/>
                      <w:szCs w:val="28"/>
                      <w:shd w:val="clear" w:color="auto" w:fill="FFFFFF"/>
                      <w:lang w:eastAsia="ru-RU"/>
                    </w:rPr>
                    <w:t>Федеральной службы </w:t>
                  </w:r>
                  <w:r>
                    <w:rPr>
                      <w:bCs/>
                      <w:sz w:val="28"/>
                      <w:szCs w:val="28"/>
                      <w:shd w:val="clear" w:color="auto" w:fill="FFFFFF"/>
                      <w:lang w:eastAsia="ru-RU"/>
                    </w:rPr>
                    <w:t>Ростехнадзора</w:t>
                  </w:r>
                  <w:r>
                    <w:rPr>
                      <w:sz w:val="28"/>
                      <w:szCs w:val="28"/>
                      <w:shd w:val="clear" w:color="auto" w:fill="FFFFFF"/>
                      <w:lang w:eastAsia="ru-RU"/>
                    </w:rPr>
                    <w:t>»</w:t>
                  </w:r>
                </w:p>
              </w:tc>
            </w:tr>
          </w:tbl>
          <w:p w:rsidR="00E33173" w:rsidRDefault="00E33173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E33173">
        <w:tc>
          <w:tcPr>
            <w:tcW w:w="2659" w:type="dxa"/>
            <w:gridSpan w:val="2"/>
          </w:tcPr>
          <w:p w:rsidR="00E33173" w:rsidRDefault="003C690B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Никитина Г.В.</w:t>
            </w:r>
          </w:p>
          <w:p w:rsidR="00E33173" w:rsidRDefault="00E33173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226" w:type="dxa"/>
          </w:tcPr>
          <w:p w:rsidR="00E33173" w:rsidRDefault="003C690B">
            <w:pPr>
              <w:ind w:firstLine="108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-начальник отдела инспектирования отделения зоны «Север» ГЖИ Кузбасса </w:t>
            </w:r>
          </w:p>
        </w:tc>
      </w:tr>
      <w:tr w:rsidR="00E33173">
        <w:tc>
          <w:tcPr>
            <w:tcW w:w="2659" w:type="dxa"/>
            <w:gridSpan w:val="2"/>
          </w:tcPr>
          <w:p w:rsidR="00E33173" w:rsidRDefault="003C690B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Воронкин Р.Б.</w:t>
            </w:r>
          </w:p>
          <w:p w:rsidR="00E33173" w:rsidRDefault="00E33173">
            <w:pPr>
              <w:jc w:val="both"/>
              <w:rPr>
                <w:color w:val="FF0000"/>
                <w:sz w:val="28"/>
                <w:szCs w:val="28"/>
                <w:lang w:eastAsia="ru-RU"/>
              </w:rPr>
            </w:pPr>
          </w:p>
          <w:p w:rsidR="00E33173" w:rsidRDefault="003C690B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Култаев М.А.</w:t>
            </w:r>
          </w:p>
          <w:p w:rsidR="00E33173" w:rsidRDefault="00E33173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E33173" w:rsidRDefault="003C690B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Звонкова И.В.</w:t>
            </w:r>
          </w:p>
          <w:p w:rsidR="00E33173" w:rsidRDefault="00E33173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226" w:type="dxa"/>
          </w:tcPr>
          <w:p w:rsidR="00E33173" w:rsidRDefault="003C690B">
            <w:pPr>
              <w:ind w:firstLine="108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-гос.инспектор «Центр оперативного контроля ЖК и ДК Кузбасса» </w:t>
            </w:r>
          </w:p>
          <w:p w:rsidR="00E33173" w:rsidRDefault="003C690B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-гос.инспектор </w:t>
            </w:r>
            <w:r>
              <w:rPr>
                <w:sz w:val="28"/>
                <w:szCs w:val="28"/>
                <w:shd w:val="clear" w:color="auto" w:fill="FFFFFF"/>
                <w:lang w:eastAsia="ru-RU"/>
              </w:rPr>
              <w:t>«Сибирского управления Федеральной службы </w:t>
            </w:r>
            <w:r>
              <w:rPr>
                <w:bCs/>
                <w:sz w:val="28"/>
                <w:szCs w:val="28"/>
                <w:shd w:val="clear" w:color="auto" w:fill="FFFFFF"/>
                <w:lang w:eastAsia="ru-RU"/>
              </w:rPr>
              <w:t>Ростехнадзора</w:t>
            </w:r>
            <w:r>
              <w:rPr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  <w:p w:rsidR="00E33173" w:rsidRDefault="003C690B">
            <w:pPr>
              <w:ind w:firstLine="108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-гос.инспектор </w:t>
            </w:r>
            <w:r>
              <w:rPr>
                <w:sz w:val="28"/>
                <w:szCs w:val="28"/>
                <w:shd w:val="clear" w:color="auto" w:fill="FFFFFF"/>
                <w:lang w:eastAsia="ru-RU"/>
              </w:rPr>
              <w:t>«Сибирского управления Федеральной службы </w:t>
            </w:r>
            <w:r>
              <w:rPr>
                <w:bCs/>
                <w:sz w:val="28"/>
                <w:szCs w:val="28"/>
                <w:shd w:val="clear" w:color="auto" w:fill="FFFFFF"/>
                <w:lang w:eastAsia="ru-RU"/>
              </w:rPr>
              <w:t>Ростехнадзора</w:t>
            </w:r>
            <w:r>
              <w:rPr>
                <w:sz w:val="28"/>
                <w:szCs w:val="28"/>
                <w:shd w:val="clear" w:color="auto" w:fill="FFFFFF"/>
                <w:lang w:eastAsia="ru-RU"/>
              </w:rPr>
              <w:t xml:space="preserve">» </w:t>
            </w:r>
          </w:p>
          <w:p w:rsidR="00E33173" w:rsidRDefault="00E33173">
            <w:pPr>
              <w:ind w:firstLine="108"/>
              <w:jc w:val="both"/>
              <w:rPr>
                <w:sz w:val="28"/>
                <w:szCs w:val="28"/>
                <w:lang w:eastAsia="ru-RU"/>
              </w:rPr>
            </w:pPr>
          </w:p>
          <w:p w:rsidR="00E33173" w:rsidRDefault="00E33173">
            <w:pPr>
              <w:ind w:firstLine="108"/>
              <w:jc w:val="both"/>
              <w:rPr>
                <w:sz w:val="28"/>
                <w:szCs w:val="28"/>
                <w:lang w:eastAsia="ru-RU"/>
              </w:rPr>
            </w:pPr>
          </w:p>
          <w:p w:rsidR="00E33173" w:rsidRDefault="00E33173">
            <w:pPr>
              <w:ind w:firstLine="108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E33173" w:rsidRDefault="00E33173">
      <w:pPr>
        <w:tabs>
          <w:tab w:val="right" w:pos="9921"/>
        </w:tabs>
        <w:jc w:val="center"/>
        <w:rPr>
          <w:rFonts w:eastAsia="Calibri"/>
          <w:sz w:val="28"/>
          <w:szCs w:val="28"/>
          <w:lang w:eastAsia="ru-RU"/>
        </w:rPr>
      </w:pPr>
    </w:p>
    <w:p w:rsidR="00E33173" w:rsidRDefault="00E33173">
      <w:pPr>
        <w:tabs>
          <w:tab w:val="right" w:pos="9921"/>
        </w:tabs>
        <w:jc w:val="center"/>
        <w:rPr>
          <w:rFonts w:eastAsia="Calibri"/>
          <w:sz w:val="28"/>
          <w:szCs w:val="28"/>
          <w:lang w:eastAsia="ru-RU"/>
        </w:rPr>
      </w:pPr>
    </w:p>
    <w:p w:rsidR="00E33173" w:rsidRDefault="00E33173">
      <w:pPr>
        <w:tabs>
          <w:tab w:val="right" w:pos="9921"/>
        </w:tabs>
        <w:jc w:val="both"/>
        <w:rPr>
          <w:rFonts w:eastAsia="Calibri"/>
          <w:sz w:val="28"/>
          <w:szCs w:val="28"/>
          <w:lang w:eastAsia="ru-RU"/>
        </w:rPr>
      </w:pPr>
    </w:p>
    <w:p w:rsidR="00E33173" w:rsidRDefault="003C690B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br w:type="page"/>
      </w:r>
      <w:r>
        <w:rPr>
          <w:sz w:val="28"/>
          <w:szCs w:val="28"/>
        </w:rPr>
        <w:lastRenderedPageBreak/>
        <w:tab/>
      </w:r>
      <w:r>
        <w:rPr>
          <w:sz w:val="24"/>
          <w:szCs w:val="24"/>
        </w:rPr>
        <w:t>Приложение 2</w:t>
      </w:r>
    </w:p>
    <w:p w:rsidR="00E33173" w:rsidRDefault="003C690B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E33173" w:rsidRDefault="003C690B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Анжеро-Судженского городского округа</w:t>
      </w:r>
    </w:p>
    <w:p w:rsidR="00E33173" w:rsidRDefault="003C690B">
      <w:pPr>
        <w:tabs>
          <w:tab w:val="left" w:pos="567"/>
          <w:tab w:val="left" w:pos="765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 xml:space="preserve">30 июня 2025г. </w:t>
      </w:r>
      <w:r>
        <w:rPr>
          <w:sz w:val="24"/>
          <w:szCs w:val="24"/>
        </w:rPr>
        <w:t>№ 688</w:t>
      </w:r>
    </w:p>
    <w:p w:rsidR="00E33173" w:rsidRDefault="00E33173">
      <w:pPr>
        <w:tabs>
          <w:tab w:val="left" w:pos="567"/>
          <w:tab w:val="left" w:pos="7655"/>
        </w:tabs>
        <w:jc w:val="right"/>
      </w:pPr>
    </w:p>
    <w:p w:rsidR="00E33173" w:rsidRDefault="00E33173">
      <w:pPr>
        <w:tabs>
          <w:tab w:val="right" w:pos="9921"/>
        </w:tabs>
        <w:ind w:left="6237"/>
        <w:jc w:val="right"/>
        <w:rPr>
          <w:sz w:val="28"/>
          <w:szCs w:val="28"/>
        </w:rPr>
      </w:pPr>
    </w:p>
    <w:p w:rsidR="00E33173" w:rsidRDefault="003C690B">
      <w:pPr>
        <w:tabs>
          <w:tab w:val="right" w:pos="99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Программа </w:t>
      </w:r>
      <w:r>
        <w:rPr>
          <w:b/>
          <w:bCs/>
          <w:sz w:val="28"/>
          <w:szCs w:val="28"/>
        </w:rPr>
        <w:t>проведения оценки обеспечения готовности к отопительному периоду 2025-2026 гг. на территории Анжеро-Судженского городского округа</w:t>
      </w:r>
    </w:p>
    <w:p w:rsidR="00E33173" w:rsidRDefault="00E33173">
      <w:pPr>
        <w:tabs>
          <w:tab w:val="right" w:pos="9921"/>
        </w:tabs>
        <w:jc w:val="both"/>
        <w:rPr>
          <w:sz w:val="28"/>
          <w:szCs w:val="28"/>
        </w:rPr>
      </w:pPr>
    </w:p>
    <w:p w:rsidR="00E33173" w:rsidRDefault="003C690B">
      <w:pPr>
        <w:pStyle w:val="ac"/>
        <w:numPr>
          <w:ilvl w:val="0"/>
          <w:numId w:val="7"/>
        </w:numPr>
        <w:tabs>
          <w:tab w:val="right" w:pos="9921"/>
        </w:tabs>
        <w:spacing w:before="240" w:after="120" w:line="240" w:lineRule="auto"/>
        <w:ind w:left="360" w:hanging="21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E33173" w:rsidRDefault="003C690B">
      <w:pPr>
        <w:pStyle w:val="ac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Настоящая программа проведения оценки обеспечения готовности теплоснабжающих организаций и потребителей </w:t>
      </w:r>
      <w:r>
        <w:rPr>
          <w:rFonts w:ascii="Times New Roman" w:hAnsi="Times New Roman" w:cs="Times New Roman"/>
          <w:sz w:val="28"/>
          <w:szCs w:val="28"/>
        </w:rPr>
        <w:t>тепловой энергии к отопительному периоду 2025/2026 гг. расположенных на территории Анжеро-Судженского городского округа (далее-Программа) разработана в соответствии с приказом Министерства энергетики Российской Федерации от 13.11.2024 № 2234 «Об утверждени</w:t>
      </w:r>
      <w:r>
        <w:rPr>
          <w:rFonts w:ascii="Times New Roman" w:hAnsi="Times New Roman" w:cs="Times New Roman"/>
          <w:sz w:val="28"/>
          <w:szCs w:val="28"/>
        </w:rPr>
        <w:t>и Правил обеспечения готовности к отопительному периоду и Порядка проведения оценки обеспечения готовности к отопительному периоду» (далее – Правила № 2234, Порядок № 2234), содержит информацию об объектах, подлежащих оценке обеспечения готовности к отопит</w:t>
      </w:r>
      <w:r>
        <w:rPr>
          <w:rFonts w:ascii="Times New Roman" w:hAnsi="Times New Roman" w:cs="Times New Roman"/>
          <w:sz w:val="28"/>
          <w:szCs w:val="28"/>
        </w:rPr>
        <w:t>ельному периоду, определяет работу комиссии по оценке обеспечения готовности объектов к отопительному периоду (далее - Комиссии), графики проведения оценки обеспечения готовности объектов к отопительному периоду.</w:t>
      </w:r>
    </w:p>
    <w:p w:rsidR="00E33173" w:rsidRDefault="00E33173">
      <w:pPr>
        <w:pStyle w:val="ac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3173" w:rsidRDefault="003C690B">
      <w:pPr>
        <w:pStyle w:val="ac"/>
        <w:spacing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Объекты, подлежащие оценке обеспечения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готовности к отопительному периоду</w:t>
      </w:r>
    </w:p>
    <w:p w:rsidR="00E33173" w:rsidRDefault="003C690B">
      <w:pPr>
        <w:tabs>
          <w:tab w:val="right" w:pos="567"/>
          <w:tab w:val="right" w:pos="992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 Указанная комиссия в соответствии со статьей 20 Федерального закона от 27.07.2010 № 190</w:t>
      </w:r>
      <w:r>
        <w:rPr>
          <w:sz w:val="28"/>
          <w:szCs w:val="28"/>
        </w:rPr>
        <w:noBreakHyphen/>
        <w:t>ФЗ «О теплоснабжении» осуществляет оценку обеспечения готовности к отопительному периоду на территории Анжеро-Судженского городс</w:t>
      </w:r>
      <w:r>
        <w:rPr>
          <w:sz w:val="28"/>
          <w:szCs w:val="28"/>
        </w:rPr>
        <w:t>кого округа следующими лицами:</w:t>
      </w:r>
    </w:p>
    <w:p w:rsidR="00E33173" w:rsidRDefault="003C690B">
      <w:pPr>
        <w:tabs>
          <w:tab w:val="righ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2.1. теплоснабжающими организациями;</w:t>
      </w:r>
    </w:p>
    <w:p w:rsidR="00E33173" w:rsidRDefault="003C690B">
      <w:pPr>
        <w:tabs>
          <w:tab w:val="right" w:pos="426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2.2. теплосетевыми организациями;</w:t>
      </w:r>
    </w:p>
    <w:p w:rsidR="00E33173" w:rsidRDefault="003C690B">
      <w:pPr>
        <w:tabs>
          <w:tab w:val="right" w:pos="426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2.3. владельцами тепловых сетей, не являющимися теплосетевыми организациями;</w:t>
      </w:r>
    </w:p>
    <w:p w:rsidR="00E33173" w:rsidRDefault="003C690B">
      <w:pPr>
        <w:tabs>
          <w:tab w:val="right" w:pos="426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2.4. потребителями тепловой энергии, теплопотребл</w:t>
      </w:r>
      <w:r>
        <w:rPr>
          <w:sz w:val="28"/>
          <w:szCs w:val="28"/>
        </w:rPr>
        <w:t xml:space="preserve">яющие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</w:t>
      </w:r>
      <w:r>
        <w:rPr>
          <w:sz w:val="28"/>
          <w:szCs w:val="28"/>
        </w:rPr>
        <w:lastRenderedPageBreak/>
        <w:t>им на праве собственности или ином законном основании теплопотребл</w:t>
      </w:r>
      <w:r>
        <w:rPr>
          <w:sz w:val="28"/>
          <w:szCs w:val="28"/>
        </w:rPr>
        <w:t>яющих установках;</w:t>
      </w:r>
    </w:p>
    <w:p w:rsidR="00E33173" w:rsidRDefault="003C690B">
      <w:pPr>
        <w:tabs>
          <w:tab w:val="left" w:pos="567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2.5. управляющей организацией, а также товариществом собственников жилья, жилищным кооперативом, жилищно-строительным кооперативом или иным специализированным потребительским кооперативом при условии осуществления ими деятельности по упр</w:t>
      </w:r>
      <w:r>
        <w:rPr>
          <w:sz w:val="28"/>
          <w:szCs w:val="28"/>
        </w:rPr>
        <w:t>авлению многоквартирными домами;</w:t>
      </w:r>
    </w:p>
    <w:p w:rsidR="00E33173" w:rsidRDefault="003C690B">
      <w:pPr>
        <w:tabs>
          <w:tab w:val="left" w:pos="567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2.6. лицами,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</w:t>
      </w:r>
      <w:r>
        <w:rPr>
          <w:sz w:val="28"/>
          <w:szCs w:val="28"/>
        </w:rPr>
        <w:t>о ремонту общего имущества в целях надлежащего содержания и (или) ремонта внутридомовой системы отопления в многоквартирном доме, или председателем совета многоквартирного дома в случае, если собственниками помещений в многоквартирном доме не принято решен</w:t>
      </w:r>
      <w:r>
        <w:rPr>
          <w:sz w:val="28"/>
          <w:szCs w:val="28"/>
        </w:rPr>
        <w:t>ие о заключении таких договоров, или муниципальными образованиями в случае, если способ управления многоквартирным домом не выбран или выбранный способ управления не реализован.</w:t>
      </w:r>
    </w:p>
    <w:p w:rsidR="00E33173" w:rsidRDefault="00E33173">
      <w:pPr>
        <w:pStyle w:val="ac"/>
        <w:tabs>
          <w:tab w:val="right" w:pos="993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33173" w:rsidRDefault="003C690B">
      <w:pPr>
        <w:pStyle w:val="ac"/>
        <w:tabs>
          <w:tab w:val="righ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Проведение оценки готовности</w:t>
      </w:r>
    </w:p>
    <w:p w:rsidR="00E33173" w:rsidRDefault="00E33173">
      <w:pPr>
        <w:pStyle w:val="ac"/>
        <w:tabs>
          <w:tab w:val="righ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3173" w:rsidRDefault="003C690B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Работа Комиссии осуществляется в </w:t>
      </w:r>
      <w:r>
        <w:rPr>
          <w:sz w:val="28"/>
          <w:szCs w:val="28"/>
        </w:rPr>
        <w:t>отношении объектов и организаций, согласно графику проведения проверок (приложение 1 к Программе). В рамках проведения оценки обеспечения готовности комиссия осуществляет оценку готовности на предмет выполнения требований, установленных Правилами обеспечен</w:t>
      </w:r>
      <w:r>
        <w:rPr>
          <w:sz w:val="28"/>
          <w:szCs w:val="28"/>
        </w:rPr>
        <w:t>ия готовности к отопительному периоду путем проверки членами комиссии соблюдения требований пунктов 9-11 Правил обеспечения готовности к отопительному периоду, утвержденных приказом Минэнерго России от 13.11.2024 № 2234.</w:t>
      </w:r>
    </w:p>
    <w:p w:rsidR="00E33173" w:rsidRDefault="003C690B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В целях проведения оценки обес</w:t>
      </w:r>
      <w:r>
        <w:rPr>
          <w:sz w:val="28"/>
          <w:szCs w:val="28"/>
        </w:rPr>
        <w:t>печения готовности комиссия рассматривает документы, подтверждающие выполнение требований по обеспечению готовности. По решению комиссии проводится осмотр объектов оценки обеспечения готовности.</w:t>
      </w:r>
    </w:p>
    <w:p w:rsidR="00E33173" w:rsidRDefault="003C690B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В отношении каждого объекта оценки обеспечения готовност</w:t>
      </w:r>
      <w:r>
        <w:rPr>
          <w:sz w:val="28"/>
          <w:szCs w:val="28"/>
        </w:rPr>
        <w:t>и устанавливает их уровень готовности к отопительному периоду (далее — уровень готовности) на основании значения индекса готовности. Индекс готовности объекта оценки обеспечения готовности определяется расчетным способом с точностью до 2 знака после запято</w:t>
      </w:r>
      <w:r>
        <w:rPr>
          <w:sz w:val="28"/>
          <w:szCs w:val="28"/>
        </w:rPr>
        <w:t xml:space="preserve">й в соответствии с формулами, установленными в оценочных листах. Уровень готовности лиц, указанных в пункте 2 настоящего Порядка, определяется как </w:t>
      </w:r>
      <w:r>
        <w:rPr>
          <w:sz w:val="28"/>
          <w:szCs w:val="28"/>
        </w:rPr>
        <w:lastRenderedPageBreak/>
        <w:t>среднеарифметическое значение индексов готовности объектов оценки обеспечения готовности.</w:t>
      </w:r>
    </w:p>
    <w:p w:rsidR="00E33173" w:rsidRDefault="003C690B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3.4. По результатам</w:t>
      </w:r>
      <w:r>
        <w:rPr>
          <w:sz w:val="28"/>
          <w:szCs w:val="28"/>
          <w:lang w:eastAsia="ru-RU"/>
        </w:rPr>
        <w:t xml:space="preserve"> расчета индекса готовности устанавливается:</w:t>
      </w:r>
    </w:p>
    <w:p w:rsidR="00E33173" w:rsidRDefault="003C690B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уровень готовности «Не готов» — если индекс готовности меньше 0,8;</w:t>
      </w:r>
    </w:p>
    <w:p w:rsidR="00E33173" w:rsidRDefault="003C690B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уровень готовности «Готов с условиями» — если индекс готовности меньше 0,9 и больше либо равен 0,8;</w:t>
      </w:r>
    </w:p>
    <w:p w:rsidR="00E33173" w:rsidRDefault="003C690B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уровень готовности «Готов» — если индекс готовности больше либо равен 0,9. </w:t>
      </w:r>
    </w:p>
    <w:p w:rsidR="00E33173" w:rsidRDefault="003C690B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3.4.1. Для лиц, указанных в п. 2.1-2.3 настоящего Порядка, в случае если балльная оценка хотя бы одного из нижеперечисленных показателей готовности, равна 0, то значение индекса го</w:t>
      </w:r>
      <w:r>
        <w:rPr>
          <w:sz w:val="28"/>
          <w:szCs w:val="28"/>
          <w:lang w:eastAsia="ru-RU"/>
        </w:rPr>
        <w:t>товности принимается не более 0,8.</w:t>
      </w:r>
    </w:p>
    <w:p w:rsidR="00E33173" w:rsidRDefault="003C690B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показатель наличия акта о проведении очистки и промывки тепловых сетей, тепловых пунктов в соответствии с требованиями пунктов 5.3.37, 6.2.17, 12.18 Правил технической эксплуатации тепловых энергоустановок, утвержденных</w:t>
      </w:r>
      <w:r>
        <w:rPr>
          <w:sz w:val="28"/>
          <w:szCs w:val="28"/>
          <w:lang w:eastAsia="ru-RU"/>
        </w:rPr>
        <w:t xml:space="preserve"> приказом Минэнерго России от 24 марта 2003 г. № 115 (далее — Правила № 115) (подпункт 9.3.21 пункта 9 Правил обеспечения готовности к отопительному периоду);</w:t>
      </w:r>
    </w:p>
    <w:p w:rsidR="00E33173" w:rsidRDefault="003C690B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показатель наличия актов проведения гидравлических испытаний на прочность и плотность трубопров</w:t>
      </w:r>
      <w:r>
        <w:rPr>
          <w:sz w:val="28"/>
          <w:szCs w:val="28"/>
          <w:lang w:eastAsia="ru-RU"/>
        </w:rPr>
        <w:t>одов тепловых сетей в соответствии с пунктом 6.2.32 Правил № 115 (подпункт 9.3.19 пункта 9 Правил обеспечения готовности к отопительному периоду);</w:t>
      </w:r>
    </w:p>
    <w:p w:rsidR="00E33173" w:rsidRDefault="003C690B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показатель наличия разработанного в соответствии с пунктом 2.7.10 Правил № 115 нормативно-технического доку</w:t>
      </w:r>
      <w:r>
        <w:rPr>
          <w:sz w:val="28"/>
          <w:szCs w:val="28"/>
          <w:lang w:eastAsia="ru-RU"/>
        </w:rPr>
        <w:t>мента по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 (пункт 9.3.14 пункта 9 Правил обеспечения готовности к о</w:t>
      </w:r>
      <w:r>
        <w:rPr>
          <w:sz w:val="28"/>
          <w:szCs w:val="28"/>
          <w:lang w:eastAsia="ru-RU"/>
        </w:rPr>
        <w:t>топительному периоду).</w:t>
      </w:r>
    </w:p>
    <w:p w:rsidR="00E33173" w:rsidRDefault="003C690B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3.4.2. Для лиц, указанных в п. 2.4-2.6 настоящего Порядка, в случае если балльная оценка хотя бы одного из нижеперечисленных показателей готовности, равна 0, то значение индекса готовности принимается не более 0,8.</w:t>
      </w:r>
    </w:p>
    <w:p w:rsidR="00E33173" w:rsidRDefault="003C690B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- показатель налич</w:t>
      </w:r>
      <w:r>
        <w:rPr>
          <w:sz w:val="28"/>
          <w:szCs w:val="28"/>
          <w:lang w:eastAsia="ru-RU"/>
        </w:rPr>
        <w:t>ия акта промывки теплопотребляющей установки (подпункт 11.5.1. пункта 11 Правил обеспечения готовности к отопительному периоду);</w:t>
      </w:r>
    </w:p>
    <w:p w:rsidR="00E33173" w:rsidRDefault="003C690B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показатель наличия акта о проведении наладки режимов потребления тепловой энергии и (или) теплоносителя (в том числе тепловых</w:t>
      </w:r>
      <w:r>
        <w:rPr>
          <w:sz w:val="28"/>
          <w:szCs w:val="28"/>
          <w:lang w:eastAsia="ru-RU"/>
        </w:rPr>
        <w:t xml:space="preserve"> и гидравлических режимов) оборудования теплового пункта и внутридомовых сетей (подпункт 11.5.2. пункта 11 Правил обеспечения готовности к отопительному периоду);</w:t>
      </w:r>
    </w:p>
    <w:p w:rsidR="00E33173" w:rsidRDefault="003C690B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показатель наличия акта о проведении гидравлических испытаний на прочность и плотность обор</w:t>
      </w:r>
      <w:r>
        <w:rPr>
          <w:sz w:val="28"/>
          <w:szCs w:val="28"/>
          <w:lang w:eastAsia="ru-RU"/>
        </w:rPr>
        <w:t>удования теплового пункта, тепловых сетей в границах балансовой принадлежности и эксплуатационной ответственности, включая трубопроводы теплового ввода и внутридомовых сетей оборудования теплового пункта и внутридомовых сетей (подпункт 11.5.5. пункта 11 Пр</w:t>
      </w:r>
      <w:r>
        <w:rPr>
          <w:sz w:val="28"/>
          <w:szCs w:val="28"/>
          <w:lang w:eastAsia="ru-RU"/>
        </w:rPr>
        <w:t>авил обеспечения готовности к отопительному периоду).</w:t>
      </w:r>
    </w:p>
    <w:p w:rsidR="00E33173" w:rsidRDefault="003C690B">
      <w:pPr>
        <w:pStyle w:val="a3"/>
        <w:spacing w:line="24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3.4.3. При расчете индекса готовности в случае, если требования к объекту теплоснабжения, установленные статьей 20 Федерального закона о теплоснабжении, не применяются в соответствии с законодательством</w:t>
      </w:r>
      <w:r>
        <w:rPr>
          <w:sz w:val="28"/>
          <w:szCs w:val="28"/>
          <w:lang w:eastAsia="ru-RU"/>
        </w:rPr>
        <w:t xml:space="preserve"> Российской Федерации, значение показателя в оценочных листах принимается равным 1.</w:t>
      </w:r>
    </w:p>
    <w:p w:rsidR="00E33173" w:rsidRDefault="003C690B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3.5. Действия при неустранении замечаний.</w:t>
      </w:r>
    </w:p>
    <w:p w:rsidR="00E33173" w:rsidRDefault="003C690B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3.5.1. В случае неустранения замечаний лицами, указанными указанных в п. 2.1-2.3 настоящего Порядка, комиссия в течение 5 рабочих </w:t>
      </w:r>
      <w:r>
        <w:rPr>
          <w:sz w:val="28"/>
          <w:szCs w:val="28"/>
        </w:rPr>
        <w:t>дней со дня подписания акта передает данные федеральному органу исполнительной власти, уполномоченному на осуществление федерального государственного энергетического надзора, федерального государственного надзора в области промышленной безопасности, федера</w:t>
      </w:r>
      <w:r>
        <w:rPr>
          <w:sz w:val="28"/>
          <w:szCs w:val="28"/>
        </w:rPr>
        <w:t>льным органам исполнительной власти в сфере обороны, обеспечения безопасности, государственной охраны, внешней разведки, исполнения наказаний (их подразделениями).</w:t>
      </w:r>
    </w:p>
    <w:p w:rsidR="00E33173" w:rsidRDefault="003C690B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3.5.2. В случае неустранения замечаний лицами, указанными указанных в п. 2.4-2.6 настоящего </w:t>
      </w:r>
      <w:r>
        <w:rPr>
          <w:sz w:val="28"/>
          <w:szCs w:val="28"/>
        </w:rPr>
        <w:t>Порядка, комиссия в течение 5 рабочих дней со для подписания акта передает данные органам государственной власти субъекта Российской Федерации в области жилищных отношений, осуществляющим региональный государственный надзор.</w:t>
      </w:r>
    </w:p>
    <w:p w:rsidR="00E33173" w:rsidRDefault="003C690B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3.6. Фиксация соблюдения требов</w:t>
      </w:r>
      <w:r>
        <w:rPr>
          <w:sz w:val="28"/>
          <w:szCs w:val="28"/>
        </w:rPr>
        <w:t>аний.</w:t>
      </w:r>
    </w:p>
    <w:p w:rsidR="00E33173" w:rsidRDefault="003C690B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позднее одного рабочего дня с даты завершения оценки обеспечения готовности комиссией составляется акт по форме приложения № 5 к Порядку проведения оценки обеспечения </w:t>
      </w:r>
      <w:r>
        <w:rPr>
          <w:sz w:val="28"/>
          <w:szCs w:val="28"/>
        </w:rPr>
        <w:lastRenderedPageBreak/>
        <w:t>готовности к отопительному периоду, утвержденному приказом Минэнерго России от 1</w:t>
      </w:r>
      <w:r>
        <w:rPr>
          <w:sz w:val="28"/>
          <w:szCs w:val="28"/>
        </w:rPr>
        <w:t>3.11.2024 № 2234.</w:t>
      </w:r>
    </w:p>
    <w:p w:rsidR="00E33173" w:rsidRDefault="003C690B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течение 5 рабочих дней со дня подписания акта комиссией для каждого лица, указанного в графике проведения оценки готовности к отопительному периоду, выдается паспорт готовности к отопительному периоду по форме приложения № 6 к Порядку п</w:t>
      </w:r>
      <w:r>
        <w:rPr>
          <w:sz w:val="28"/>
          <w:szCs w:val="28"/>
        </w:rPr>
        <w:t>роведения оценки обеспечения готовности к отопительному периоду, утвержденному приказом Минэнерго России от 13.11.2024 № 2234.</w:t>
      </w:r>
    </w:p>
    <w:p w:rsidR="00E33173" w:rsidRDefault="003C690B">
      <w:pPr>
        <w:tabs>
          <w:tab w:val="right" w:pos="9921"/>
        </w:tabs>
        <w:spacing w:before="24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Права и обязанности членов комиссии</w:t>
      </w:r>
    </w:p>
    <w:p w:rsidR="00E33173" w:rsidRDefault="00E33173">
      <w:pPr>
        <w:pStyle w:val="ac"/>
        <w:numPr>
          <w:ilvl w:val="0"/>
          <w:numId w:val="7"/>
        </w:numPr>
        <w:tabs>
          <w:tab w:val="right" w:pos="1134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E33173" w:rsidRDefault="00E33173">
      <w:pPr>
        <w:pStyle w:val="ac"/>
        <w:numPr>
          <w:ilvl w:val="0"/>
          <w:numId w:val="7"/>
        </w:numPr>
        <w:tabs>
          <w:tab w:val="right" w:pos="1134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Число членов комиссии, включая ее председателя и заместителя председателя, должно </w:t>
      </w:r>
      <w:r>
        <w:rPr>
          <w:sz w:val="28"/>
          <w:szCs w:val="28"/>
        </w:rPr>
        <w:t>быть нечетным.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Состав комиссии формируется таким образом, чтобы была исключена возможность, возникновения конфликта интересов, который мог бы повлиять на принимаемые комиссией решения.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Председатель и заместитель председателя являются членами коми</w:t>
      </w:r>
      <w:r>
        <w:rPr>
          <w:sz w:val="28"/>
          <w:szCs w:val="28"/>
        </w:rPr>
        <w:t>ссии.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4.4.В отсутствие председателя комиссии его обязанности исполняет заместитель председателя комиссии.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 Все члены комиссии при принятии решений обладают равными правами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 Председатель (заместитель председателя) комиссии обязан: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4.6.1. возглавлять</w:t>
      </w:r>
      <w:r>
        <w:rPr>
          <w:sz w:val="28"/>
          <w:szCs w:val="28"/>
        </w:rPr>
        <w:t xml:space="preserve"> комиссию и руководить ее деятельностью;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4.6.2. утверждать настоящую программу;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4.6.3. проводить плановые и внеплановые заседания комиссии;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4.6.4. координировать работу комиссии;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4.6.5. определять сроки выдачи паспортов обеспечения готовности к отопительно</w:t>
      </w:r>
      <w:r>
        <w:rPr>
          <w:sz w:val="28"/>
          <w:szCs w:val="28"/>
        </w:rPr>
        <w:t>му периоду.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 Члены комиссии обязаны: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4.7.1лично участвовать в заседаниях комиссии;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4.7.2. выполнять поручения комиссии;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4.7.3. соблюдать установленные комиссией ограничения на разглашение информации.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4.7.4. при возникновении прямой или косвенной личной</w:t>
      </w:r>
      <w:r>
        <w:rPr>
          <w:sz w:val="28"/>
          <w:szCs w:val="28"/>
        </w:rPr>
        <w:t xml:space="preserve"> заинтересованности, которая может привести к конфликту интересов при рассмотрении вопросов, сообщить об этом до начала заседания комиссии.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4.8. Члены комиссии имеют право:</w:t>
      </w:r>
    </w:p>
    <w:p w:rsidR="00E33173" w:rsidRDefault="003C6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4.8.1. участвовать в обсуждении вопросов, рассматриваемых комиссией, вносить предло</w:t>
      </w:r>
      <w:r>
        <w:rPr>
          <w:sz w:val="28"/>
          <w:szCs w:val="28"/>
        </w:rPr>
        <w:t>жения и высказываться по любому вопросу, рассматриваемому комиссией.</w:t>
      </w:r>
    </w:p>
    <w:p w:rsidR="00E33173" w:rsidRDefault="00E33173">
      <w:pPr>
        <w:tabs>
          <w:tab w:val="right" w:pos="9921"/>
        </w:tabs>
        <w:ind w:firstLine="567"/>
        <w:jc w:val="both"/>
        <w:rPr>
          <w:sz w:val="28"/>
          <w:szCs w:val="28"/>
        </w:rPr>
      </w:pPr>
    </w:p>
    <w:p w:rsidR="00E33173" w:rsidRDefault="00E33173">
      <w:pPr>
        <w:tabs>
          <w:tab w:val="right" w:pos="9921"/>
        </w:tabs>
        <w:jc w:val="both"/>
        <w:rPr>
          <w:sz w:val="28"/>
          <w:szCs w:val="28"/>
        </w:rPr>
      </w:pPr>
    </w:p>
    <w:p w:rsidR="00E33173" w:rsidRDefault="00E33173">
      <w:pPr>
        <w:tabs>
          <w:tab w:val="right" w:pos="9921"/>
        </w:tabs>
        <w:jc w:val="both"/>
        <w:rPr>
          <w:sz w:val="28"/>
          <w:szCs w:val="28"/>
        </w:rPr>
      </w:pPr>
    </w:p>
    <w:p w:rsidR="00E33173" w:rsidRDefault="003C690B">
      <w:pPr>
        <w:tabs>
          <w:tab w:val="right" w:pos="9921"/>
        </w:tabs>
        <w:ind w:left="6237"/>
        <w:jc w:val="both"/>
        <w:rPr>
          <w:sz w:val="24"/>
          <w:szCs w:val="24"/>
        </w:rPr>
      </w:pPr>
      <w:r>
        <w:br w:type="page"/>
      </w:r>
      <w:r>
        <w:rPr>
          <w:sz w:val="24"/>
          <w:szCs w:val="24"/>
        </w:rPr>
        <w:lastRenderedPageBreak/>
        <w:t>Приложение 1</w:t>
      </w:r>
    </w:p>
    <w:p w:rsidR="00E33173" w:rsidRDefault="003C690B">
      <w:pPr>
        <w:tabs>
          <w:tab w:val="right" w:pos="9921"/>
        </w:tabs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программе проведения оценки обеспечения готовности к отопительному периоду, утвержденной постановлением администрации Анжеро-Судженского городского округа от 30 июня </w:t>
      </w:r>
      <w:r>
        <w:rPr>
          <w:sz w:val="24"/>
          <w:szCs w:val="24"/>
        </w:rPr>
        <w:t>2025г. № 688</w:t>
      </w:r>
    </w:p>
    <w:p w:rsidR="00E33173" w:rsidRDefault="00E33173">
      <w:pPr>
        <w:tabs>
          <w:tab w:val="right" w:pos="9921"/>
        </w:tabs>
        <w:jc w:val="both"/>
        <w:rPr>
          <w:sz w:val="24"/>
          <w:szCs w:val="24"/>
        </w:rPr>
      </w:pPr>
    </w:p>
    <w:p w:rsidR="00E33173" w:rsidRDefault="003C690B">
      <w:pPr>
        <w:tabs>
          <w:tab w:val="right" w:pos="9921"/>
        </w:tabs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График проведения оценки обеспечения готовности к отопительному периоду 2025/2026 гг.</w:t>
      </w:r>
    </w:p>
    <w:p w:rsidR="00E33173" w:rsidRDefault="00E33173">
      <w:pPr>
        <w:keepNext/>
        <w:ind w:left="-142"/>
        <w:jc w:val="both"/>
        <w:outlineLvl w:val="2"/>
        <w:rPr>
          <w:b/>
          <w:bCs/>
          <w:sz w:val="28"/>
          <w:szCs w:val="28"/>
        </w:rPr>
      </w:pPr>
    </w:p>
    <w:tbl>
      <w:tblPr>
        <w:tblStyle w:val="af1"/>
        <w:tblW w:w="10065" w:type="dxa"/>
        <w:tblInd w:w="-431" w:type="dxa"/>
        <w:tblLook w:val="04A0" w:firstRow="1" w:lastRow="0" w:firstColumn="1" w:lastColumn="0" w:noHBand="0" w:noVBand="1"/>
      </w:tblPr>
      <w:tblGrid>
        <w:gridCol w:w="823"/>
        <w:gridCol w:w="4251"/>
        <w:gridCol w:w="1873"/>
        <w:gridCol w:w="3118"/>
      </w:tblGrid>
      <w:tr w:rsidR="00E33173">
        <w:tc>
          <w:tcPr>
            <w:tcW w:w="823" w:type="dxa"/>
            <w:vAlign w:val="center"/>
          </w:tcPr>
          <w:p w:rsidR="00E33173" w:rsidRDefault="003C690B">
            <w:pPr>
              <w:ind w:left="-43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251" w:type="dxa"/>
            <w:vAlign w:val="center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 подлежащие проверке</w:t>
            </w:r>
          </w:p>
        </w:tc>
        <w:tc>
          <w:tcPr>
            <w:tcW w:w="1873" w:type="dxa"/>
            <w:vAlign w:val="center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проведения провеки</w:t>
            </w:r>
          </w:p>
        </w:tc>
        <w:tc>
          <w:tcPr>
            <w:tcW w:w="3118" w:type="dxa"/>
            <w:vAlign w:val="center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Документация, проверяемая в ходе проверки</w:t>
            </w:r>
          </w:p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АО «Каскад-энерго»</w:t>
            </w:r>
          </w:p>
        </w:tc>
        <w:tc>
          <w:tcPr>
            <w:tcW w:w="187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21.07.2025-25.07.2025</w:t>
            </w:r>
          </w:p>
        </w:tc>
        <w:tc>
          <w:tcPr>
            <w:tcW w:w="3118" w:type="dxa"/>
          </w:tcPr>
          <w:p w:rsidR="00E33173" w:rsidRDefault="003C690B">
            <w:pPr>
              <w:jc w:val="both"/>
            </w:pPr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Министерства энергетики России от 13.11.2024г. №2234</w:t>
            </w:r>
          </w:p>
        </w:tc>
      </w:tr>
      <w:tr w:rsidR="00E33173">
        <w:trPr>
          <w:trHeight w:val="562"/>
        </w:trPr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ГБУ КО «Анжеро-Судженский психоневрологически</w:t>
            </w:r>
            <w:r>
              <w:rPr>
                <w:bCs/>
                <w:sz w:val="28"/>
                <w:szCs w:val="28"/>
              </w:rPr>
              <w:t>й интернат»</w:t>
            </w:r>
          </w:p>
        </w:tc>
        <w:tc>
          <w:tcPr>
            <w:tcW w:w="187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22.08.2025г.</w:t>
            </w:r>
          </w:p>
        </w:tc>
        <w:tc>
          <w:tcPr>
            <w:tcW w:w="3118" w:type="dxa"/>
            <w:vMerge w:val="restart"/>
          </w:tcPr>
          <w:p w:rsidR="00E33173" w:rsidRDefault="003C690B">
            <w:pPr>
              <w:jc w:val="both"/>
            </w:pPr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Министерства энергетики России от 13.11.2024г. №2234</w:t>
            </w:r>
          </w:p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МБУ «Анжер</w:t>
            </w:r>
            <w:r>
              <w:rPr>
                <w:bCs/>
                <w:sz w:val="28"/>
                <w:szCs w:val="28"/>
              </w:rPr>
              <w:t>о-Судженский комплексный центр социального обслуживания населения»</w:t>
            </w:r>
          </w:p>
        </w:tc>
        <w:tc>
          <w:tcPr>
            <w:tcW w:w="187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21.08.2025г.</w:t>
            </w:r>
          </w:p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10065" w:type="dxa"/>
            <w:gridSpan w:val="4"/>
          </w:tcPr>
          <w:p w:rsidR="00E33173" w:rsidRDefault="003C690B">
            <w:pPr>
              <w:jc w:val="center"/>
              <w:rPr>
                <w:b/>
              </w:rPr>
            </w:pPr>
            <w:r>
              <w:rPr>
                <w:b/>
              </w:rPr>
              <w:t>Управление образования</w:t>
            </w:r>
          </w:p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 №7</w:t>
            </w:r>
          </w:p>
        </w:tc>
        <w:tc>
          <w:tcPr>
            <w:tcW w:w="1873" w:type="dxa"/>
            <w:vMerge w:val="restart"/>
            <w:vAlign w:val="center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14.08.2025г.-20.08.2025г.</w:t>
            </w:r>
          </w:p>
        </w:tc>
        <w:tc>
          <w:tcPr>
            <w:tcW w:w="3118" w:type="dxa"/>
            <w:vMerge w:val="restart"/>
          </w:tcPr>
          <w:p w:rsidR="00E33173" w:rsidRDefault="003C690B">
            <w:pPr>
              <w:jc w:val="both"/>
            </w:pPr>
            <w:bookmarkStart w:id="4" w:name="ИО"/>
            <w:bookmarkEnd w:id="4"/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Министерства энергетики России от 13.11.2024г. №2234</w:t>
            </w:r>
          </w:p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Школа-интернат №37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Детский сад №2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Детский сад №8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Детский сад №12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Детский сад №28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Детский сад №31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10065" w:type="dxa"/>
            <w:gridSpan w:val="4"/>
          </w:tcPr>
          <w:p w:rsidR="00E33173" w:rsidRDefault="003C690B">
            <w:pPr>
              <w:jc w:val="center"/>
            </w:pPr>
            <w:r>
              <w:rPr>
                <w:b/>
              </w:rPr>
              <w:t>ООО «Мир тепла»</w:t>
            </w:r>
          </w:p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Блочно-модульная котельная, ул.Водоканальная, 7А</w:t>
            </w:r>
          </w:p>
        </w:tc>
        <w:tc>
          <w:tcPr>
            <w:tcW w:w="1873" w:type="dxa"/>
            <w:vMerge w:val="restart"/>
            <w:vAlign w:val="center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04.08.2025г.-08.08.2025г.</w:t>
            </w:r>
          </w:p>
        </w:tc>
        <w:tc>
          <w:tcPr>
            <w:tcW w:w="3118" w:type="dxa"/>
            <w:vMerge w:val="restart"/>
          </w:tcPr>
          <w:p w:rsidR="00E33173" w:rsidRDefault="003C690B">
            <w:pPr>
              <w:jc w:val="both"/>
            </w:pPr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</w:t>
            </w:r>
            <w:r>
              <w:lastRenderedPageBreak/>
              <w:t>Министерства энергетики России от 13.11.2024г. №2234</w:t>
            </w:r>
          </w:p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Блочно-модульная котельная, ул.Водоканальная</w:t>
            </w:r>
            <w:r>
              <w:rPr>
                <w:bCs/>
                <w:sz w:val="28"/>
                <w:szCs w:val="28"/>
              </w:rPr>
              <w:t>, 27А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б</w:t>
            </w:r>
            <w:r>
              <w:rPr>
                <w:bCs/>
                <w:sz w:val="28"/>
                <w:szCs w:val="28"/>
              </w:rPr>
              <w:t>лочно-модульной котельной, ул.Водоканальная, 7А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б</w:t>
            </w:r>
            <w:r>
              <w:rPr>
                <w:bCs/>
                <w:sz w:val="28"/>
                <w:szCs w:val="28"/>
              </w:rPr>
              <w:t>лочно-модульной котельной, ул.Водоканальная, 27А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10065" w:type="dxa"/>
            <w:gridSpan w:val="4"/>
          </w:tcPr>
          <w:p w:rsidR="00E33173" w:rsidRDefault="003C690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ООО «ТеплоРесурс»</w:t>
            </w:r>
          </w:p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№1</w:t>
            </w:r>
          </w:p>
        </w:tc>
        <w:tc>
          <w:tcPr>
            <w:tcW w:w="1873" w:type="dxa"/>
            <w:vMerge w:val="restart"/>
            <w:vAlign w:val="center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28.07.2025г.-01.08.2025г</w:t>
            </w:r>
          </w:p>
        </w:tc>
        <w:tc>
          <w:tcPr>
            <w:tcW w:w="3118" w:type="dxa"/>
            <w:vMerge w:val="restart"/>
          </w:tcPr>
          <w:p w:rsidR="00E33173" w:rsidRDefault="003C690B">
            <w:pPr>
              <w:jc w:val="both"/>
            </w:pPr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Министерства энергетики России от 13.11.2024г. №2234</w:t>
            </w:r>
          </w:p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№3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№4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№5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№6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№7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№8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№9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№10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№14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№15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№16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№18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№19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№20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</w:t>
            </w:r>
            <w:r>
              <w:rPr>
                <w:sz w:val="28"/>
                <w:szCs w:val="28"/>
              </w:rPr>
              <w:t xml:space="preserve"> №23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№24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№25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№26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№27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№29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rPr>
          <w:trHeight w:val="232"/>
        </w:trPr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№30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№1</w:t>
            </w:r>
          </w:p>
        </w:tc>
        <w:tc>
          <w:tcPr>
            <w:tcW w:w="1873" w:type="dxa"/>
            <w:vMerge w:val="restart"/>
            <w:vAlign w:val="center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28.07.2025г.-01.08.2025г</w:t>
            </w:r>
          </w:p>
        </w:tc>
        <w:tc>
          <w:tcPr>
            <w:tcW w:w="3118" w:type="dxa"/>
            <w:vMerge w:val="restart"/>
          </w:tcPr>
          <w:p w:rsidR="00E33173" w:rsidRDefault="003C690B">
            <w:pPr>
              <w:jc w:val="both"/>
            </w:pPr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Министерства энергетики России от 13.11.2024г. №2234</w:t>
            </w:r>
          </w:p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№3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№4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№5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№6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№7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№8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№9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№10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№14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№15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№16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№18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№19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№20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Тепловые сети от </w:t>
            </w:r>
            <w:r>
              <w:rPr>
                <w:sz w:val="28"/>
                <w:szCs w:val="28"/>
              </w:rPr>
              <w:t>котельной №23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№24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№25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№26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№27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№29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rPr>
          <w:trHeight w:val="297"/>
        </w:trPr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 от котельной №30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ООО </w:t>
            </w:r>
            <w:r>
              <w:rPr>
                <w:b/>
                <w:sz w:val="28"/>
                <w:szCs w:val="28"/>
              </w:rPr>
              <w:t>«Новая сетевая компания» (теплосети от АО «Каскад-энерго»)</w:t>
            </w:r>
          </w:p>
        </w:tc>
        <w:tc>
          <w:tcPr>
            <w:tcW w:w="187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21.07.2025-25.07.2025</w:t>
            </w:r>
          </w:p>
        </w:tc>
        <w:tc>
          <w:tcPr>
            <w:tcW w:w="3118" w:type="dxa"/>
          </w:tcPr>
          <w:p w:rsidR="00E33173" w:rsidRDefault="003C690B">
            <w:pPr>
              <w:jc w:val="both"/>
            </w:pPr>
            <w:r>
              <w:t>Согласно «</w:t>
            </w:r>
            <w:r>
              <w:rPr>
                <w:color w:val="34343C"/>
              </w:rPr>
              <w:t xml:space="preserve"> Правил обеспечения готовности к 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Министерств</w:t>
            </w:r>
            <w:r>
              <w:t>а энергетики России от 13.11.2024г. №2234</w:t>
            </w:r>
          </w:p>
        </w:tc>
      </w:tr>
      <w:tr w:rsidR="00E33173">
        <w:tc>
          <w:tcPr>
            <w:tcW w:w="10065" w:type="dxa"/>
            <w:gridSpan w:val="4"/>
          </w:tcPr>
          <w:p w:rsidR="00E33173" w:rsidRDefault="003C690B">
            <w:pPr>
              <w:jc w:val="center"/>
              <w:rPr>
                <w:b/>
              </w:rPr>
            </w:pPr>
            <w:r>
              <w:rPr>
                <w:b/>
              </w:rPr>
              <w:t>Жилой фонд</w:t>
            </w:r>
          </w:p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«УК Приоритет»</w:t>
            </w:r>
          </w:p>
        </w:tc>
        <w:tc>
          <w:tcPr>
            <w:tcW w:w="1873" w:type="dxa"/>
            <w:vMerge w:val="restart"/>
            <w:vAlign w:val="center"/>
          </w:tcPr>
          <w:p w:rsidR="00E33173" w:rsidRDefault="00E33173">
            <w:pPr>
              <w:jc w:val="both"/>
              <w:rPr>
                <w:sz w:val="28"/>
                <w:szCs w:val="28"/>
              </w:rPr>
            </w:pPr>
          </w:p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25.08.2025г.-</w:t>
            </w:r>
            <w:r>
              <w:rPr>
                <w:sz w:val="28"/>
                <w:szCs w:val="28"/>
              </w:rPr>
              <w:lastRenderedPageBreak/>
              <w:t>05.09.2025г.</w:t>
            </w:r>
          </w:p>
        </w:tc>
        <w:tc>
          <w:tcPr>
            <w:tcW w:w="3118" w:type="dxa"/>
            <w:vMerge w:val="restart"/>
          </w:tcPr>
          <w:p w:rsidR="00E33173" w:rsidRDefault="003C690B">
            <w:pPr>
              <w:jc w:val="both"/>
            </w:pPr>
            <w:r>
              <w:lastRenderedPageBreak/>
              <w:t>Согласно «</w:t>
            </w:r>
            <w:r>
              <w:rPr>
                <w:color w:val="34343C"/>
              </w:rPr>
              <w:t xml:space="preserve"> Правил обеспечения готовности к </w:t>
            </w:r>
            <w:r>
              <w:rPr>
                <w:color w:val="34343C"/>
              </w:rPr>
              <w:lastRenderedPageBreak/>
              <w:t>отопительному периоду и Порядка проведения оценки обеспечения готовности к отопительному периоду»,</w:t>
            </w:r>
            <w:r>
              <w:t xml:space="preserve"> утвержденных Приказом Министерства энергетики России от 13.11.2024г. №2234</w:t>
            </w:r>
          </w:p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61.</w:t>
            </w:r>
          </w:p>
        </w:tc>
        <w:tc>
          <w:tcPr>
            <w:tcW w:w="4251" w:type="dxa"/>
          </w:tcPr>
          <w:p w:rsidR="00E33173" w:rsidRDefault="003C690B">
            <w:pPr>
              <w:tabs>
                <w:tab w:val="right" w:pos="992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 «Диалог-АС»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62.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«УК Сервис дом»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63.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«Управляющая компания Анжерская»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rPr>
          <w:trHeight w:val="264"/>
        </w:trPr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«УКА»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«УК Аркада»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«УК Крокус»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«Лидер УК»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«Велес»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«Парус»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ТСН Восток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ТСЖ Сибирь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72.</w:t>
            </w:r>
          </w:p>
        </w:tc>
        <w:tc>
          <w:tcPr>
            <w:tcW w:w="4251" w:type="dxa"/>
          </w:tcPr>
          <w:p w:rsidR="00E33173" w:rsidRDefault="003C69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ТСЖ Домовой</w:t>
            </w: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  <w:tr w:rsidR="00E33173">
        <w:tc>
          <w:tcPr>
            <w:tcW w:w="823" w:type="dxa"/>
          </w:tcPr>
          <w:p w:rsidR="00E33173" w:rsidRDefault="00E3317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1" w:type="dxa"/>
          </w:tcPr>
          <w:p w:rsidR="00E33173" w:rsidRDefault="00E3317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73" w:type="dxa"/>
            <w:vMerge/>
          </w:tcPr>
          <w:p w:rsidR="00E33173" w:rsidRDefault="00E33173"/>
        </w:tc>
        <w:tc>
          <w:tcPr>
            <w:tcW w:w="3118" w:type="dxa"/>
            <w:vMerge/>
          </w:tcPr>
          <w:p w:rsidR="00E33173" w:rsidRDefault="00E33173"/>
        </w:tc>
      </w:tr>
    </w:tbl>
    <w:p w:rsidR="00E33173" w:rsidRDefault="00E33173">
      <w:pPr>
        <w:jc w:val="both"/>
        <w:rPr>
          <w:sz w:val="28"/>
          <w:szCs w:val="28"/>
        </w:rPr>
      </w:pPr>
    </w:p>
    <w:p w:rsidR="00E33173" w:rsidRDefault="00E33173">
      <w:pPr>
        <w:tabs>
          <w:tab w:val="right" w:pos="9921"/>
        </w:tabs>
      </w:pPr>
    </w:p>
    <w:p w:rsidR="00E33173" w:rsidRDefault="00E33173">
      <w:pPr>
        <w:tabs>
          <w:tab w:val="left" w:pos="567"/>
          <w:tab w:val="left" w:pos="7655"/>
        </w:tabs>
        <w:jc w:val="right"/>
      </w:pPr>
    </w:p>
    <w:sectPr w:rsidR="00E33173">
      <w:footerReference w:type="default" r:id="rId10"/>
      <w:pgSz w:w="11906" w:h="16838"/>
      <w:pgMar w:top="567" w:right="851" w:bottom="1134" w:left="1701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90B" w:rsidRDefault="003C690B">
      <w:r>
        <w:separator/>
      </w:r>
    </w:p>
  </w:endnote>
  <w:endnote w:type="continuationSeparator" w:id="0">
    <w:p w:rsidR="003C690B" w:rsidRDefault="003C6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173" w:rsidRDefault="00E33173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90B" w:rsidRDefault="003C690B">
      <w:r>
        <w:separator/>
      </w:r>
    </w:p>
  </w:footnote>
  <w:footnote w:type="continuationSeparator" w:id="0">
    <w:p w:rsidR="003C690B" w:rsidRDefault="003C6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D4580"/>
    <w:multiLevelType w:val="multilevel"/>
    <w:tmpl w:val="6A7A316C"/>
    <w:name w:val="Нумерованный список 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" w15:restartNumberingAfterBreak="0">
    <w:nsid w:val="1AD63D61"/>
    <w:multiLevelType w:val="hybridMultilevel"/>
    <w:tmpl w:val="0A86FA4C"/>
    <w:lvl w:ilvl="0" w:tplc="CD48B83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917260E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DF30CB8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F5566C3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BF7C93B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876360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2E2CAA8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396E936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441E97C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5746683"/>
    <w:multiLevelType w:val="hybridMultilevel"/>
    <w:tmpl w:val="18945A0C"/>
    <w:name w:val="Нумерованный список 1"/>
    <w:lvl w:ilvl="0" w:tplc="0BAC01AA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 w:tplc="55004094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 w:tplc="BDE0B4A4">
      <w:start w:val="1"/>
      <w:numFmt w:val="none"/>
      <w:suff w:val="nothing"/>
      <w:lvlText w:val=""/>
      <w:lvlJc w:val="left"/>
      <w:pPr>
        <w:ind w:left="0" w:firstLine="0"/>
      </w:pPr>
    </w:lvl>
    <w:lvl w:ilvl="3" w:tplc="6B52A06E">
      <w:start w:val="1"/>
      <w:numFmt w:val="none"/>
      <w:suff w:val="nothing"/>
      <w:lvlText w:val=""/>
      <w:lvlJc w:val="left"/>
      <w:pPr>
        <w:ind w:left="0" w:firstLine="0"/>
      </w:pPr>
    </w:lvl>
    <w:lvl w:ilvl="4" w:tplc="3E440422">
      <w:start w:val="1"/>
      <w:numFmt w:val="none"/>
      <w:suff w:val="nothing"/>
      <w:lvlText w:val=""/>
      <w:lvlJc w:val="left"/>
      <w:pPr>
        <w:ind w:left="0" w:firstLine="0"/>
      </w:pPr>
    </w:lvl>
    <w:lvl w:ilvl="5" w:tplc="D018E3D6">
      <w:start w:val="1"/>
      <w:numFmt w:val="none"/>
      <w:suff w:val="nothing"/>
      <w:lvlText w:val=""/>
      <w:lvlJc w:val="left"/>
      <w:pPr>
        <w:ind w:left="0" w:firstLine="0"/>
      </w:pPr>
    </w:lvl>
    <w:lvl w:ilvl="6" w:tplc="047C5938">
      <w:start w:val="1"/>
      <w:numFmt w:val="none"/>
      <w:suff w:val="nothing"/>
      <w:lvlText w:val=""/>
      <w:lvlJc w:val="left"/>
      <w:pPr>
        <w:ind w:left="0" w:firstLine="0"/>
      </w:pPr>
    </w:lvl>
    <w:lvl w:ilvl="7" w:tplc="295284B0">
      <w:start w:val="1"/>
      <w:numFmt w:val="none"/>
      <w:suff w:val="nothing"/>
      <w:lvlText w:val=""/>
      <w:lvlJc w:val="left"/>
      <w:pPr>
        <w:ind w:left="0" w:firstLine="0"/>
      </w:pPr>
    </w:lvl>
    <w:lvl w:ilvl="8" w:tplc="E5408EF6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B5D2844"/>
    <w:multiLevelType w:val="hybridMultilevel"/>
    <w:tmpl w:val="F90E5B8C"/>
    <w:name w:val="WW8Num20"/>
    <w:lvl w:ilvl="0" w:tplc="7AF0CA58">
      <w:start w:val="4"/>
      <w:numFmt w:val="decimal"/>
      <w:lvlText w:val="%1."/>
      <w:lvlJc w:val="left"/>
      <w:pPr>
        <w:ind w:left="360" w:firstLine="0"/>
      </w:pPr>
    </w:lvl>
    <w:lvl w:ilvl="1" w:tplc="32621FC2">
      <w:start w:val="1"/>
      <w:numFmt w:val="lowerLetter"/>
      <w:lvlText w:val="%2."/>
      <w:lvlJc w:val="left"/>
      <w:pPr>
        <w:ind w:left="1080" w:firstLine="0"/>
      </w:pPr>
    </w:lvl>
    <w:lvl w:ilvl="2" w:tplc="BE02D066">
      <w:start w:val="1"/>
      <w:numFmt w:val="lowerRoman"/>
      <w:lvlText w:val="%3."/>
      <w:lvlJc w:val="right"/>
      <w:pPr>
        <w:ind w:left="1980" w:firstLine="0"/>
      </w:pPr>
    </w:lvl>
    <w:lvl w:ilvl="3" w:tplc="6B726950">
      <w:start w:val="1"/>
      <w:numFmt w:val="decimal"/>
      <w:lvlText w:val="%4."/>
      <w:lvlJc w:val="left"/>
      <w:pPr>
        <w:ind w:left="2520" w:firstLine="0"/>
      </w:pPr>
    </w:lvl>
    <w:lvl w:ilvl="4" w:tplc="B966EDB2">
      <w:start w:val="1"/>
      <w:numFmt w:val="lowerLetter"/>
      <w:lvlText w:val="%5."/>
      <w:lvlJc w:val="left"/>
      <w:pPr>
        <w:ind w:left="3240" w:firstLine="0"/>
      </w:pPr>
    </w:lvl>
    <w:lvl w:ilvl="5" w:tplc="7508148A">
      <w:start w:val="1"/>
      <w:numFmt w:val="lowerRoman"/>
      <w:lvlText w:val="%6."/>
      <w:lvlJc w:val="right"/>
      <w:pPr>
        <w:ind w:left="4140" w:firstLine="0"/>
      </w:pPr>
    </w:lvl>
    <w:lvl w:ilvl="6" w:tplc="4F2234CC">
      <w:start w:val="1"/>
      <w:numFmt w:val="decimal"/>
      <w:lvlText w:val="%7."/>
      <w:lvlJc w:val="left"/>
      <w:pPr>
        <w:ind w:left="4680" w:firstLine="0"/>
      </w:pPr>
    </w:lvl>
    <w:lvl w:ilvl="7" w:tplc="DA661762">
      <w:start w:val="1"/>
      <w:numFmt w:val="lowerLetter"/>
      <w:lvlText w:val="%8."/>
      <w:lvlJc w:val="left"/>
      <w:pPr>
        <w:ind w:left="5400" w:firstLine="0"/>
      </w:pPr>
    </w:lvl>
    <w:lvl w:ilvl="8" w:tplc="82349A30">
      <w:start w:val="1"/>
      <w:numFmt w:val="lowerRoman"/>
      <w:lvlText w:val="%9."/>
      <w:lvlJc w:val="right"/>
      <w:pPr>
        <w:ind w:left="6300" w:firstLine="0"/>
      </w:pPr>
    </w:lvl>
  </w:abstractNum>
  <w:abstractNum w:abstractNumId="4" w15:restartNumberingAfterBreak="0">
    <w:nsid w:val="47F7195A"/>
    <w:multiLevelType w:val="hybridMultilevel"/>
    <w:tmpl w:val="82E2C218"/>
    <w:name w:val="Нумерованный список 3"/>
    <w:lvl w:ilvl="0" w:tplc="AD225C84">
      <w:start w:val="2"/>
      <w:numFmt w:val="decimal"/>
      <w:lvlText w:val="%1."/>
      <w:lvlJc w:val="left"/>
      <w:pPr>
        <w:ind w:left="360" w:firstLine="0"/>
      </w:pPr>
    </w:lvl>
    <w:lvl w:ilvl="1" w:tplc="B7DC149C">
      <w:start w:val="1"/>
      <w:numFmt w:val="lowerLetter"/>
      <w:lvlText w:val="%2."/>
      <w:lvlJc w:val="left"/>
      <w:pPr>
        <w:ind w:left="1080" w:firstLine="0"/>
      </w:pPr>
    </w:lvl>
    <w:lvl w:ilvl="2" w:tplc="E4C4B2AE">
      <w:start w:val="1"/>
      <w:numFmt w:val="lowerRoman"/>
      <w:lvlText w:val="%3."/>
      <w:lvlJc w:val="right"/>
      <w:pPr>
        <w:ind w:left="1980" w:firstLine="0"/>
      </w:pPr>
    </w:lvl>
    <w:lvl w:ilvl="3" w:tplc="5636CC2E">
      <w:start w:val="1"/>
      <w:numFmt w:val="decimal"/>
      <w:lvlText w:val="%4."/>
      <w:lvlJc w:val="left"/>
      <w:pPr>
        <w:ind w:left="2520" w:firstLine="0"/>
      </w:pPr>
    </w:lvl>
    <w:lvl w:ilvl="4" w:tplc="999EDE5C">
      <w:start w:val="1"/>
      <w:numFmt w:val="lowerLetter"/>
      <w:lvlText w:val="%5."/>
      <w:lvlJc w:val="left"/>
      <w:pPr>
        <w:ind w:left="3240" w:firstLine="0"/>
      </w:pPr>
    </w:lvl>
    <w:lvl w:ilvl="5" w:tplc="EB3AB106">
      <w:start w:val="1"/>
      <w:numFmt w:val="lowerRoman"/>
      <w:lvlText w:val="%6."/>
      <w:lvlJc w:val="right"/>
      <w:pPr>
        <w:ind w:left="4140" w:firstLine="0"/>
      </w:pPr>
    </w:lvl>
    <w:lvl w:ilvl="6" w:tplc="ACBAEA80">
      <w:start w:val="1"/>
      <w:numFmt w:val="decimal"/>
      <w:lvlText w:val="%7."/>
      <w:lvlJc w:val="left"/>
      <w:pPr>
        <w:ind w:left="4680" w:firstLine="0"/>
      </w:pPr>
    </w:lvl>
    <w:lvl w:ilvl="7" w:tplc="BAC21642">
      <w:start w:val="1"/>
      <w:numFmt w:val="lowerLetter"/>
      <w:lvlText w:val="%8."/>
      <w:lvlJc w:val="left"/>
      <w:pPr>
        <w:ind w:left="5400" w:firstLine="0"/>
      </w:pPr>
    </w:lvl>
    <w:lvl w:ilvl="8" w:tplc="46081FF4">
      <w:start w:val="1"/>
      <w:numFmt w:val="lowerRoman"/>
      <w:lvlText w:val="%9."/>
      <w:lvlJc w:val="right"/>
      <w:pPr>
        <w:ind w:left="6300" w:firstLine="0"/>
      </w:pPr>
    </w:lvl>
  </w:abstractNum>
  <w:abstractNum w:abstractNumId="5" w15:restartNumberingAfterBreak="0">
    <w:nsid w:val="523A518F"/>
    <w:multiLevelType w:val="hybridMultilevel"/>
    <w:tmpl w:val="5510D392"/>
    <w:name w:val="Нумерованный список 2"/>
    <w:lvl w:ilvl="0" w:tplc="1C621B82">
      <w:numFmt w:val="bullet"/>
      <w:lvlText w:val="-"/>
      <w:lvlJc w:val="left"/>
      <w:pPr>
        <w:ind w:left="927" w:firstLine="0"/>
      </w:pPr>
      <w:rPr>
        <w:rFonts w:ascii="Symbol" w:hAnsi="Symbol"/>
      </w:rPr>
    </w:lvl>
    <w:lvl w:ilvl="1" w:tplc="907EC7C4">
      <w:numFmt w:val="bullet"/>
      <w:lvlText w:val="o"/>
      <w:lvlJc w:val="left"/>
      <w:pPr>
        <w:ind w:left="1647" w:firstLine="0"/>
      </w:pPr>
      <w:rPr>
        <w:rFonts w:ascii="Courier New" w:hAnsi="Courier New"/>
      </w:rPr>
    </w:lvl>
    <w:lvl w:ilvl="2" w:tplc="5CB04132">
      <w:numFmt w:val="bullet"/>
      <w:lvlText w:val=""/>
      <w:lvlJc w:val="left"/>
      <w:pPr>
        <w:ind w:left="2367" w:firstLine="0"/>
      </w:pPr>
      <w:rPr>
        <w:rFonts w:ascii="Wingdings" w:eastAsia="Wingdings" w:hAnsi="Wingdings" w:cs="Wingdings"/>
      </w:rPr>
    </w:lvl>
    <w:lvl w:ilvl="3" w:tplc="80E0A51E">
      <w:numFmt w:val="bullet"/>
      <w:lvlText w:val="·"/>
      <w:lvlJc w:val="left"/>
      <w:pPr>
        <w:ind w:left="3087" w:firstLine="0"/>
      </w:pPr>
      <w:rPr>
        <w:rFonts w:ascii="Symbol" w:hAnsi="Symbol"/>
      </w:rPr>
    </w:lvl>
    <w:lvl w:ilvl="4" w:tplc="F5D801E0">
      <w:numFmt w:val="bullet"/>
      <w:lvlText w:val="o"/>
      <w:lvlJc w:val="left"/>
      <w:pPr>
        <w:ind w:left="3807" w:firstLine="0"/>
      </w:pPr>
      <w:rPr>
        <w:rFonts w:ascii="Courier New" w:hAnsi="Courier New"/>
      </w:rPr>
    </w:lvl>
    <w:lvl w:ilvl="5" w:tplc="7186809A">
      <w:numFmt w:val="bullet"/>
      <w:lvlText w:val=""/>
      <w:lvlJc w:val="left"/>
      <w:pPr>
        <w:ind w:left="4527" w:firstLine="0"/>
      </w:pPr>
      <w:rPr>
        <w:rFonts w:ascii="Wingdings" w:eastAsia="Wingdings" w:hAnsi="Wingdings" w:cs="Wingdings"/>
      </w:rPr>
    </w:lvl>
    <w:lvl w:ilvl="6" w:tplc="114CE1E2">
      <w:numFmt w:val="bullet"/>
      <w:lvlText w:val="·"/>
      <w:lvlJc w:val="left"/>
      <w:pPr>
        <w:ind w:left="5247" w:firstLine="0"/>
      </w:pPr>
      <w:rPr>
        <w:rFonts w:ascii="Symbol" w:hAnsi="Symbol"/>
      </w:rPr>
    </w:lvl>
    <w:lvl w:ilvl="7" w:tplc="480EAB28">
      <w:numFmt w:val="bullet"/>
      <w:lvlText w:val="o"/>
      <w:lvlJc w:val="left"/>
      <w:pPr>
        <w:ind w:left="5967" w:firstLine="0"/>
      </w:pPr>
      <w:rPr>
        <w:rFonts w:ascii="Courier New" w:hAnsi="Courier New"/>
      </w:rPr>
    </w:lvl>
    <w:lvl w:ilvl="8" w:tplc="B3AC80BE">
      <w:numFmt w:val="bullet"/>
      <w:lvlText w:val=""/>
      <w:lvlJc w:val="left"/>
      <w:pPr>
        <w:ind w:left="6687" w:firstLine="0"/>
      </w:pPr>
      <w:rPr>
        <w:rFonts w:ascii="Wingdings" w:eastAsia="Wingdings" w:hAnsi="Wingdings" w:cs="Wingdings"/>
      </w:rPr>
    </w:lvl>
  </w:abstractNum>
  <w:abstractNum w:abstractNumId="6" w15:restartNumberingAfterBreak="0">
    <w:nsid w:val="59C35C94"/>
    <w:multiLevelType w:val="multilevel"/>
    <w:tmpl w:val="59C079C8"/>
    <w:name w:val="WW8Num7"/>
    <w:lvl w:ilvl="0">
      <w:start w:val="1"/>
      <w:numFmt w:val="decimal"/>
      <w:lvlText w:val="%1."/>
      <w:lvlJc w:val="left"/>
      <w:pPr>
        <w:ind w:left="0" w:firstLine="0"/>
      </w:pPr>
      <w:rPr>
        <w:sz w:val="28"/>
      </w:rPr>
    </w:lvl>
    <w:lvl w:ilvl="1">
      <w:start w:val="1"/>
      <w:numFmt w:val="decimal"/>
      <w:lvlText w:val="%1.%2."/>
      <w:lvlJc w:val="left"/>
      <w:pPr>
        <w:ind w:left="425" w:firstLine="0"/>
      </w:pPr>
      <w:rPr>
        <w:sz w:val="28"/>
      </w:rPr>
    </w:lvl>
    <w:lvl w:ilvl="2">
      <w:start w:val="1"/>
      <w:numFmt w:val="decimal"/>
      <w:lvlText w:val="%1.%2.%3."/>
      <w:lvlJc w:val="left"/>
      <w:pPr>
        <w:ind w:left="1134" w:firstLine="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701" w:firstLine="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2268" w:firstLine="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2835" w:firstLine="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402" w:firstLine="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3969" w:firstLine="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4536" w:firstLine="0"/>
      </w:pPr>
      <w:rPr>
        <w:sz w:val="28"/>
      </w:rPr>
    </w:lvl>
  </w:abstractNum>
  <w:abstractNum w:abstractNumId="7" w15:restartNumberingAfterBreak="0">
    <w:nsid w:val="66C1485F"/>
    <w:multiLevelType w:val="hybridMultilevel"/>
    <w:tmpl w:val="61962CE8"/>
    <w:name w:val="Нумерованный список 5"/>
    <w:lvl w:ilvl="0" w:tplc="24006688">
      <w:start w:val="1"/>
      <w:numFmt w:val="decimal"/>
      <w:lvlText w:val="%1."/>
      <w:lvlJc w:val="left"/>
      <w:pPr>
        <w:ind w:left="708" w:firstLine="0"/>
      </w:pPr>
    </w:lvl>
    <w:lvl w:ilvl="1" w:tplc="DFEE4F16">
      <w:start w:val="1"/>
      <w:numFmt w:val="lowerLetter"/>
      <w:lvlText w:val="%2."/>
      <w:lvlJc w:val="left"/>
      <w:pPr>
        <w:ind w:left="1428" w:firstLine="0"/>
      </w:pPr>
    </w:lvl>
    <w:lvl w:ilvl="2" w:tplc="74765A9A">
      <w:start w:val="1"/>
      <w:numFmt w:val="lowerRoman"/>
      <w:lvlText w:val="%3."/>
      <w:lvlJc w:val="right"/>
      <w:pPr>
        <w:ind w:left="2328" w:firstLine="0"/>
      </w:pPr>
    </w:lvl>
    <w:lvl w:ilvl="3" w:tplc="20C0D464">
      <w:start w:val="1"/>
      <w:numFmt w:val="decimal"/>
      <w:lvlText w:val="%4."/>
      <w:lvlJc w:val="left"/>
      <w:pPr>
        <w:ind w:left="2868" w:firstLine="0"/>
      </w:pPr>
    </w:lvl>
    <w:lvl w:ilvl="4" w:tplc="B2504A52">
      <w:start w:val="1"/>
      <w:numFmt w:val="lowerLetter"/>
      <w:lvlText w:val="%5."/>
      <w:lvlJc w:val="left"/>
      <w:pPr>
        <w:ind w:left="3588" w:firstLine="0"/>
      </w:pPr>
    </w:lvl>
    <w:lvl w:ilvl="5" w:tplc="9F3AF6FE">
      <w:start w:val="1"/>
      <w:numFmt w:val="lowerRoman"/>
      <w:lvlText w:val="%6."/>
      <w:lvlJc w:val="right"/>
      <w:pPr>
        <w:ind w:left="4488" w:firstLine="0"/>
      </w:pPr>
    </w:lvl>
    <w:lvl w:ilvl="6" w:tplc="1EC6DCEE">
      <w:start w:val="1"/>
      <w:numFmt w:val="decimal"/>
      <w:lvlText w:val="%7."/>
      <w:lvlJc w:val="left"/>
      <w:pPr>
        <w:ind w:left="5028" w:firstLine="0"/>
      </w:pPr>
    </w:lvl>
    <w:lvl w:ilvl="7" w:tplc="2A7E6A2A">
      <w:start w:val="1"/>
      <w:numFmt w:val="lowerLetter"/>
      <w:lvlText w:val="%8."/>
      <w:lvlJc w:val="left"/>
      <w:pPr>
        <w:ind w:left="5748" w:firstLine="0"/>
      </w:pPr>
    </w:lvl>
    <w:lvl w:ilvl="8" w:tplc="4E848B6E">
      <w:start w:val="1"/>
      <w:numFmt w:val="lowerRoman"/>
      <w:lvlText w:val="%9."/>
      <w:lvlJc w:val="right"/>
      <w:pPr>
        <w:ind w:left="6648" w:firstLine="0"/>
      </w:pPr>
    </w:lvl>
  </w:abstractNum>
  <w:abstractNum w:abstractNumId="8" w15:restartNumberingAfterBreak="0">
    <w:nsid w:val="6C4D1122"/>
    <w:multiLevelType w:val="singleLevel"/>
    <w:tmpl w:val="E896442C"/>
    <w:name w:val="WW8Num6"/>
    <w:lvl w:ilvl="0">
      <w:numFmt w:val="bullet"/>
      <w:lvlText w:val="·"/>
      <w:lvlJc w:val="left"/>
      <w:pPr>
        <w:ind w:left="994" w:firstLine="0"/>
      </w:pPr>
      <w:rPr>
        <w:rFonts w:ascii="Symbol" w:hAnsi="Symbol" w:cs="Symbol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173"/>
    <w:rsid w:val="00326EB6"/>
    <w:rsid w:val="003C690B"/>
    <w:rsid w:val="00E3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CB6843-DEF0-44F8-8D9D-6853F561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pacing w:val="40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  <w:rPr>
      <w:rFonts w:ascii="PT Astra Serif" w:hAnsi="PT Astra Serif" w:cs="Noto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juscontextcxspmiddle">
    <w:name w:val="juscontextcxspmiddle"/>
    <w:basedOn w:val="a"/>
    <w:qFormat/>
    <w:pPr>
      <w:spacing w:before="280" w:after="280"/>
    </w:pPr>
    <w:rPr>
      <w:sz w:val="24"/>
      <w:szCs w:val="24"/>
    </w:rPr>
  </w:style>
  <w:style w:type="paragraph" w:customStyle="1" w:styleId="a6">
    <w:name w:val="Знак Знак Знак Знак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harChar">
    <w:name w:val="Char Char"/>
    <w:basedOn w:val="a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70">
    <w:name w:val="xl70"/>
    <w:basedOn w:val="a"/>
    <w:qFormat/>
    <w:pPr>
      <w:spacing w:before="280" w:after="280"/>
    </w:pPr>
    <w:rPr>
      <w:sz w:val="24"/>
      <w:szCs w:val="24"/>
    </w:rPr>
  </w:style>
  <w:style w:type="paragraph" w:customStyle="1" w:styleId="xl71">
    <w:name w:val="xl7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72">
    <w:name w:val="xl72"/>
    <w:basedOn w:val="a"/>
    <w:qFormat/>
    <w:pPr>
      <w:spacing w:before="280" w:after="280"/>
    </w:pPr>
    <w:rPr>
      <w:sz w:val="24"/>
      <w:szCs w:val="24"/>
    </w:rPr>
  </w:style>
  <w:style w:type="paragraph" w:customStyle="1" w:styleId="xl73">
    <w:name w:val="xl73"/>
    <w:basedOn w:val="a"/>
    <w:qFormat/>
    <w:pPr>
      <w:spacing w:before="280" w:after="280"/>
      <w:jc w:val="center"/>
    </w:pPr>
    <w:rPr>
      <w:sz w:val="24"/>
      <w:szCs w:val="24"/>
    </w:rPr>
  </w:style>
  <w:style w:type="paragraph" w:customStyle="1" w:styleId="xl74">
    <w:name w:val="xl74"/>
    <w:basedOn w:val="a"/>
    <w:qFormat/>
    <w:pPr>
      <w:pBdr>
        <w:top w:val="nil"/>
        <w:left w:val="nil"/>
        <w:bottom w:val="nil"/>
        <w:right w:val="nil"/>
        <w:between w:val="nil"/>
      </w:pBdr>
      <w:shd w:val="solid" w:color="FFFFFF" w:fill="auto"/>
      <w:spacing w:before="280" w:after="280"/>
      <w:jc w:val="center"/>
    </w:pPr>
    <w:rPr>
      <w:sz w:val="24"/>
      <w:szCs w:val="24"/>
    </w:rPr>
  </w:style>
  <w:style w:type="paragraph" w:customStyle="1" w:styleId="xl75">
    <w:name w:val="xl75"/>
    <w:basedOn w:val="a"/>
    <w:qFormat/>
    <w:pPr>
      <w:spacing w:before="280" w:after="280"/>
    </w:p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8"/>
      <w:szCs w:val="28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8"/>
      <w:szCs w:val="28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8"/>
      <w:szCs w:val="28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8"/>
      <w:szCs w:val="28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</w:pPr>
    <w:rPr>
      <w:sz w:val="28"/>
      <w:szCs w:val="28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4">
    <w:name w:val="xl8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5">
    <w:name w:val="xl8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6">
    <w:name w:val="xl8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7">
    <w:name w:val="xl8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8">
    <w:name w:val="xl8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89">
    <w:name w:val="xl8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b/>
      <w:bCs/>
      <w:sz w:val="28"/>
      <w:szCs w:val="28"/>
    </w:rPr>
  </w:style>
  <w:style w:type="paragraph" w:customStyle="1" w:styleId="xl90">
    <w:name w:val="xl9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b/>
      <w:bCs/>
      <w:sz w:val="28"/>
      <w:szCs w:val="28"/>
    </w:rPr>
  </w:style>
  <w:style w:type="paragraph" w:customStyle="1" w:styleId="xl91">
    <w:name w:val="xl9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92">
    <w:name w:val="xl9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93">
    <w:name w:val="xl9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sz w:val="28"/>
      <w:szCs w:val="28"/>
    </w:rPr>
  </w:style>
  <w:style w:type="paragraph" w:customStyle="1" w:styleId="xl94">
    <w:name w:val="xl9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b/>
      <w:bCs/>
      <w:sz w:val="28"/>
      <w:szCs w:val="28"/>
    </w:rPr>
  </w:style>
  <w:style w:type="paragraph" w:customStyle="1" w:styleId="xl95">
    <w:name w:val="xl9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8"/>
      <w:szCs w:val="28"/>
    </w:rPr>
  </w:style>
  <w:style w:type="paragraph" w:customStyle="1" w:styleId="xl96">
    <w:name w:val="xl9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qFormat/>
    <w:pPr>
      <w:pBdr>
        <w:top w:val="nil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qFormat/>
    <w:pPr>
      <w:pBdr>
        <w:top w:val="single" w:sz="4" w:space="0" w:color="000000"/>
        <w:left w:val="single" w:sz="4" w:space="0" w:color="000000"/>
        <w:bottom w:val="nil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00">
    <w:name w:val="xl100"/>
    <w:basedOn w:val="a"/>
    <w:qFormat/>
    <w:pPr>
      <w:pBdr>
        <w:top w:val="nil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01">
    <w:name w:val="xl10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02">
    <w:name w:val="xl102"/>
    <w:basedOn w:val="a"/>
    <w:qFormat/>
    <w:pPr>
      <w:pBdr>
        <w:top w:val="single" w:sz="4" w:space="0" w:color="000000"/>
        <w:left w:val="nil"/>
        <w:bottom w:val="single" w:sz="4" w:space="0" w:color="000000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03">
    <w:name w:val="xl103"/>
    <w:basedOn w:val="a"/>
    <w:qFormat/>
    <w:pPr>
      <w:pBdr>
        <w:top w:val="single" w:sz="4" w:space="0" w:color="000000"/>
        <w:left w:val="nil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04">
    <w:name w:val="xl10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nil"/>
        <w:between w:val="nil"/>
      </w:pBdr>
      <w:shd w:val="solid" w:color="FFFFFF" w:fill="auto"/>
      <w:spacing w:before="280" w:after="280"/>
      <w:jc w:val="center"/>
    </w:pPr>
    <w:rPr>
      <w:b/>
      <w:bCs/>
      <w:sz w:val="28"/>
      <w:szCs w:val="28"/>
    </w:rPr>
  </w:style>
  <w:style w:type="paragraph" w:customStyle="1" w:styleId="xl105">
    <w:name w:val="xl105"/>
    <w:basedOn w:val="a"/>
    <w:qFormat/>
    <w:pPr>
      <w:pBdr>
        <w:top w:val="single" w:sz="4" w:space="0" w:color="000000"/>
        <w:left w:val="nil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b/>
      <w:bCs/>
      <w:sz w:val="28"/>
      <w:szCs w:val="28"/>
    </w:rPr>
  </w:style>
  <w:style w:type="paragraph" w:customStyle="1" w:styleId="xl106">
    <w:name w:val="xl10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nil"/>
        <w:between w:val="nil"/>
      </w:pBdr>
      <w:spacing w:before="280" w:after="280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qFormat/>
    <w:pPr>
      <w:pBdr>
        <w:top w:val="single" w:sz="4" w:space="0" w:color="000000"/>
        <w:left w:val="nil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qFormat/>
    <w:pPr>
      <w:pBdr>
        <w:top w:val="single" w:sz="4" w:space="0" w:color="000000"/>
        <w:left w:val="single" w:sz="4" w:space="0" w:color="000000"/>
        <w:bottom w:val="nil"/>
        <w:right w:val="single" w:sz="4" w:space="0" w:color="000000"/>
        <w:between w:val="nil"/>
      </w:pBdr>
      <w:spacing w:before="280" w:after="280"/>
      <w:jc w:val="center"/>
    </w:pPr>
    <w:rPr>
      <w:color w:val="000000"/>
      <w:sz w:val="24"/>
      <w:szCs w:val="24"/>
    </w:rPr>
  </w:style>
  <w:style w:type="paragraph" w:customStyle="1" w:styleId="xl109">
    <w:name w:val="xl10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</w:pPr>
    <w:rPr>
      <w:color w:val="000000"/>
      <w:sz w:val="24"/>
      <w:szCs w:val="24"/>
    </w:rPr>
  </w:style>
  <w:style w:type="paragraph" w:customStyle="1" w:styleId="xl110">
    <w:name w:val="xl11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</w:pPr>
    <w:rPr>
      <w:sz w:val="24"/>
      <w:szCs w:val="24"/>
    </w:rPr>
  </w:style>
  <w:style w:type="paragraph" w:customStyle="1" w:styleId="xl111">
    <w:name w:val="xl11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</w:pPr>
    <w:rPr>
      <w:color w:val="000000"/>
      <w:sz w:val="24"/>
      <w:szCs w:val="24"/>
    </w:rPr>
  </w:style>
  <w:style w:type="paragraph" w:customStyle="1" w:styleId="xl112">
    <w:name w:val="xl11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</w:pPr>
    <w:rPr>
      <w:sz w:val="24"/>
      <w:szCs w:val="24"/>
    </w:rPr>
  </w:style>
  <w:style w:type="paragraph" w:customStyle="1" w:styleId="xl113">
    <w:name w:val="xl11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2CC" w:fill="auto"/>
      <w:spacing w:before="280" w:after="280"/>
      <w:jc w:val="center"/>
    </w:pPr>
    <w:rPr>
      <w:color w:val="000000"/>
      <w:sz w:val="24"/>
      <w:szCs w:val="24"/>
    </w:rPr>
  </w:style>
  <w:style w:type="paragraph" w:customStyle="1" w:styleId="xl114">
    <w:name w:val="xl11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E2EFDA" w:fill="auto"/>
      <w:spacing w:before="280" w:after="280"/>
      <w:jc w:val="center"/>
    </w:pPr>
    <w:rPr>
      <w:color w:val="000000"/>
      <w:sz w:val="24"/>
      <w:szCs w:val="24"/>
    </w:rPr>
  </w:style>
  <w:style w:type="paragraph" w:customStyle="1" w:styleId="xl116">
    <w:name w:val="xl11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  <w:jc w:val="center"/>
    </w:pPr>
    <w:rPr>
      <w:color w:val="000000"/>
      <w:sz w:val="24"/>
      <w:szCs w:val="24"/>
    </w:rPr>
  </w:style>
  <w:style w:type="paragraph" w:customStyle="1" w:styleId="xl117">
    <w:name w:val="xl11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18">
    <w:name w:val="xl11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BDD7EE" w:fill="auto"/>
      <w:spacing w:before="280" w:after="280"/>
      <w:jc w:val="center"/>
    </w:pPr>
    <w:rPr>
      <w:color w:val="000000"/>
      <w:sz w:val="24"/>
      <w:szCs w:val="24"/>
    </w:rPr>
  </w:style>
  <w:style w:type="paragraph" w:customStyle="1" w:styleId="xl119">
    <w:name w:val="xl11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20">
    <w:name w:val="xl12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21">
    <w:name w:val="xl12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color w:val="000000"/>
      <w:sz w:val="24"/>
      <w:szCs w:val="24"/>
    </w:rPr>
  </w:style>
  <w:style w:type="paragraph" w:customStyle="1" w:styleId="xl122">
    <w:name w:val="xl12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E2EFDA" w:fill="auto"/>
      <w:spacing w:before="280" w:after="280"/>
      <w:jc w:val="center"/>
    </w:pPr>
    <w:rPr>
      <w:color w:val="000000"/>
      <w:sz w:val="24"/>
      <w:szCs w:val="24"/>
    </w:rPr>
  </w:style>
  <w:style w:type="paragraph" w:customStyle="1" w:styleId="xl123">
    <w:name w:val="xl12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</w:pPr>
    <w:rPr>
      <w:sz w:val="24"/>
      <w:szCs w:val="24"/>
    </w:rPr>
  </w:style>
  <w:style w:type="paragraph" w:customStyle="1" w:styleId="xl124">
    <w:name w:val="xl12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25">
    <w:name w:val="xl12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26">
    <w:name w:val="xl12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27">
    <w:name w:val="xl12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</w:pPr>
    <w:rPr>
      <w:b/>
      <w:bCs/>
      <w:sz w:val="24"/>
      <w:szCs w:val="24"/>
    </w:rPr>
  </w:style>
  <w:style w:type="paragraph" w:customStyle="1" w:styleId="xl128">
    <w:name w:val="xl12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4"/>
      <w:szCs w:val="24"/>
    </w:rPr>
  </w:style>
  <w:style w:type="paragraph" w:customStyle="1" w:styleId="xl129">
    <w:name w:val="xl12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4"/>
      <w:szCs w:val="24"/>
    </w:rPr>
  </w:style>
  <w:style w:type="paragraph" w:customStyle="1" w:styleId="xl130">
    <w:name w:val="xl13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b/>
      <w:bCs/>
      <w:sz w:val="24"/>
      <w:szCs w:val="24"/>
    </w:rPr>
  </w:style>
  <w:style w:type="paragraph" w:customStyle="1" w:styleId="xl131">
    <w:name w:val="xl13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2">
    <w:name w:val="xl13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3">
    <w:name w:val="xl133"/>
    <w:basedOn w:val="a"/>
    <w:qFormat/>
    <w:pPr>
      <w:pBdr>
        <w:top w:val="single" w:sz="4" w:space="0" w:color="000000"/>
        <w:left w:val="single" w:sz="4" w:space="0" w:color="000000"/>
        <w:bottom w:val="nil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4">
    <w:name w:val="xl134"/>
    <w:basedOn w:val="a"/>
    <w:qFormat/>
    <w:pPr>
      <w:pBdr>
        <w:top w:val="single" w:sz="4" w:space="0" w:color="000000"/>
        <w:left w:val="nil"/>
        <w:bottom w:val="nil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5">
    <w:name w:val="xl135"/>
    <w:basedOn w:val="a"/>
    <w:qFormat/>
    <w:pPr>
      <w:pBdr>
        <w:top w:val="nil"/>
        <w:left w:val="single" w:sz="4" w:space="0" w:color="000000"/>
        <w:bottom w:val="single" w:sz="4" w:space="0" w:color="000000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6">
    <w:name w:val="xl136"/>
    <w:basedOn w:val="a"/>
    <w:qFormat/>
    <w:pPr>
      <w:pBdr>
        <w:top w:val="nil"/>
        <w:left w:val="nil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7">
    <w:name w:val="xl13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8">
    <w:name w:val="xl13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39">
    <w:name w:val="xl13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0">
    <w:name w:val="xl14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1">
    <w:name w:val="xl14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2">
    <w:name w:val="xl142"/>
    <w:basedOn w:val="a"/>
    <w:qFormat/>
    <w:pPr>
      <w:pBdr>
        <w:top w:val="single" w:sz="4" w:space="0" w:color="000000"/>
        <w:left w:val="single" w:sz="4" w:space="0" w:color="000000"/>
        <w:bottom w:val="nil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3">
    <w:name w:val="xl143"/>
    <w:basedOn w:val="a"/>
    <w:qFormat/>
    <w:pPr>
      <w:pBdr>
        <w:top w:val="single" w:sz="4" w:space="0" w:color="000000"/>
        <w:left w:val="nil"/>
        <w:bottom w:val="nil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4">
    <w:name w:val="xl144"/>
    <w:basedOn w:val="a"/>
    <w:qFormat/>
    <w:pPr>
      <w:pBdr>
        <w:top w:val="nil"/>
        <w:left w:val="single" w:sz="4" w:space="0" w:color="000000"/>
        <w:bottom w:val="single" w:sz="4" w:space="0" w:color="000000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5">
    <w:name w:val="xl145"/>
    <w:basedOn w:val="a"/>
    <w:qFormat/>
    <w:pPr>
      <w:pBdr>
        <w:top w:val="nil"/>
        <w:left w:val="nil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6">
    <w:name w:val="xl14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7">
    <w:name w:val="xl147"/>
    <w:basedOn w:val="a"/>
    <w:qFormat/>
    <w:pPr>
      <w:pBdr>
        <w:top w:val="single" w:sz="4" w:space="0" w:color="000000"/>
        <w:left w:val="nil"/>
        <w:bottom w:val="nil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8">
    <w:name w:val="xl148"/>
    <w:basedOn w:val="a"/>
    <w:qFormat/>
    <w:pPr>
      <w:pBdr>
        <w:top w:val="nil"/>
        <w:left w:val="nil"/>
        <w:bottom w:val="single" w:sz="4" w:space="0" w:color="000000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49">
    <w:name w:val="xl14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hd w:val="solid" w:color="FFFFFF" w:fill="auto"/>
      <w:spacing w:before="280" w:after="280"/>
    </w:pPr>
    <w:rPr>
      <w:b/>
      <w:bCs/>
      <w:color w:val="000000"/>
      <w:sz w:val="24"/>
      <w:szCs w:val="24"/>
    </w:rPr>
  </w:style>
  <w:style w:type="paragraph" w:customStyle="1" w:styleId="xl150">
    <w:name w:val="xl15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nil"/>
        <w:between w:val="nil"/>
      </w:pBdr>
      <w:spacing w:before="280" w:after="280"/>
    </w:pPr>
    <w:rPr>
      <w:b/>
      <w:bCs/>
      <w:sz w:val="24"/>
      <w:szCs w:val="24"/>
    </w:rPr>
  </w:style>
  <w:style w:type="paragraph" w:customStyle="1" w:styleId="xl151">
    <w:name w:val="xl151"/>
    <w:basedOn w:val="a"/>
    <w:qFormat/>
    <w:pPr>
      <w:pBdr>
        <w:top w:val="single" w:sz="4" w:space="0" w:color="000000"/>
        <w:left w:val="nil"/>
        <w:bottom w:val="single" w:sz="4" w:space="0" w:color="000000"/>
        <w:right w:val="single" w:sz="4" w:space="0" w:color="000000"/>
        <w:between w:val="nil"/>
      </w:pBdr>
      <w:spacing w:before="280" w:after="280"/>
    </w:pPr>
    <w:rPr>
      <w:sz w:val="24"/>
      <w:szCs w:val="24"/>
    </w:rPr>
  </w:style>
  <w:style w:type="paragraph" w:customStyle="1" w:styleId="xl152">
    <w:name w:val="xl15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53">
    <w:name w:val="xl15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54">
    <w:name w:val="xl154"/>
    <w:basedOn w:val="a"/>
    <w:qFormat/>
    <w:pPr>
      <w:pBdr>
        <w:top w:val="single" w:sz="4" w:space="0" w:color="000000"/>
        <w:left w:val="single" w:sz="4" w:space="0" w:color="000000"/>
        <w:bottom w:val="nil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55">
    <w:name w:val="xl155"/>
    <w:basedOn w:val="a"/>
    <w:qFormat/>
    <w:pPr>
      <w:pBdr>
        <w:top w:val="single" w:sz="4" w:space="0" w:color="000000"/>
        <w:left w:val="nil"/>
        <w:bottom w:val="nil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56">
    <w:name w:val="xl156"/>
    <w:basedOn w:val="a"/>
    <w:qFormat/>
    <w:pPr>
      <w:pBdr>
        <w:top w:val="nil"/>
        <w:left w:val="single" w:sz="4" w:space="0" w:color="000000"/>
        <w:bottom w:val="single" w:sz="4" w:space="0" w:color="000000"/>
        <w:right w:val="nil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xl157">
    <w:name w:val="xl157"/>
    <w:basedOn w:val="a"/>
    <w:qFormat/>
    <w:pPr>
      <w:pBdr>
        <w:top w:val="nil"/>
        <w:left w:val="nil"/>
        <w:bottom w:val="single" w:sz="4" w:space="0" w:color="000000"/>
        <w:right w:val="single" w:sz="4" w:space="0" w:color="000000"/>
        <w:between w:val="nil"/>
      </w:pBdr>
      <w:spacing w:before="280" w:after="280"/>
      <w:jc w:val="center"/>
    </w:pPr>
    <w:rPr>
      <w:sz w:val="24"/>
      <w:szCs w:val="24"/>
    </w:rPr>
  </w:style>
  <w:style w:type="paragraph" w:customStyle="1" w:styleId="a7">
    <w:name w:val="Содержимое таблицы"/>
    <w:basedOn w:val="a"/>
    <w:qFormat/>
    <w:pPr>
      <w:widowControl w:val="0"/>
      <w:suppressLineNumbers/>
    </w:pPr>
  </w:style>
  <w:style w:type="paragraph" w:customStyle="1" w:styleId="a8">
    <w:name w:val="Заголовок таблицы"/>
    <w:basedOn w:val="a7"/>
    <w:qFormat/>
    <w:pPr>
      <w:jc w:val="center"/>
    </w:pPr>
    <w:rPr>
      <w:b/>
      <w:bCs/>
    </w:rPr>
  </w:style>
  <w:style w:type="paragraph" w:styleId="a9">
    <w:name w:val="Normal (Web)"/>
    <w:basedOn w:val="a"/>
    <w:qFormat/>
    <w:pPr>
      <w:spacing w:after="225"/>
    </w:pPr>
    <w:rPr>
      <w:sz w:val="24"/>
      <w:szCs w:val="24"/>
    </w:rPr>
  </w:style>
  <w:style w:type="paragraph" w:customStyle="1" w:styleId="12">
    <w:name w:val="Название объекта1"/>
    <w:basedOn w:val="a"/>
    <w:next w:val="a"/>
    <w:qFormat/>
    <w:pPr>
      <w:keepNext/>
      <w:spacing w:before="120"/>
      <w:jc w:val="both"/>
    </w:pPr>
    <w:rPr>
      <w:b/>
      <w:bCs/>
      <w:sz w:val="24"/>
      <w:szCs w:val="24"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  <w:rPr>
      <w:sz w:val="24"/>
      <w:szCs w:val="24"/>
    </w:rPr>
  </w:style>
  <w:style w:type="paragraph" w:customStyle="1" w:styleId="31">
    <w:name w:val="Основной текст с отступом 31"/>
    <w:basedOn w:val="a"/>
    <w:qFormat/>
    <w:pPr>
      <w:widowControl w:val="0"/>
      <w:tabs>
        <w:tab w:val="left" w:pos="499"/>
        <w:tab w:val="left" w:pos="8884"/>
      </w:tabs>
      <w:ind w:firstLine="567"/>
      <w:jc w:val="both"/>
    </w:pPr>
    <w:rPr>
      <w:sz w:val="28"/>
      <w:szCs w:val="24"/>
    </w:rPr>
  </w:style>
  <w:style w:type="paragraph" w:customStyle="1" w:styleId="20">
    <w:name w:val="Основной текст2"/>
    <w:basedOn w:val="a"/>
    <w:qFormat/>
    <w:pPr>
      <w:pBdr>
        <w:top w:val="nil"/>
        <w:left w:val="nil"/>
        <w:bottom w:val="nil"/>
        <w:right w:val="nil"/>
        <w:between w:val="nil"/>
      </w:pBdr>
      <w:shd w:val="solid" w:color="FFFFFF" w:fill="auto"/>
      <w:spacing w:after="300" w:line="326" w:lineRule="exact"/>
      <w:jc w:val="center"/>
    </w:pPr>
    <w:rPr>
      <w:noProof/>
      <w:sz w:val="26"/>
      <w:szCs w:val="26"/>
    </w:rPr>
  </w:style>
  <w:style w:type="paragraph" w:styleId="ab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ru-RU"/>
    </w:rPr>
  </w:style>
  <w:style w:type="character" w:customStyle="1" w:styleId="WW8Num1z0">
    <w:name w:val="WW8Num1z0"/>
  </w:style>
  <w:style w:type="character" w:customStyle="1" w:styleId="13">
    <w:name w:val="Основной шрифт абзаца1"/>
  </w:style>
  <w:style w:type="character" w:styleId="ad">
    <w:name w:val="Hyperlink"/>
    <w:rPr>
      <w:color w:val="0563C1"/>
      <w:u w:val="single"/>
    </w:rPr>
  </w:style>
  <w:style w:type="character" w:styleId="ae">
    <w:name w:val="FollowedHyperlink"/>
    <w:rPr>
      <w:color w:val="954F72"/>
      <w:u w:val="single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sz w:val="28"/>
    </w:rPr>
  </w:style>
  <w:style w:type="character" w:customStyle="1" w:styleId="WW8Num20z0">
    <w:name w:val="WW8Num20z0"/>
  </w:style>
  <w:style w:type="character" w:customStyle="1" w:styleId="af">
    <w:name w:val="Текст выноски Знак"/>
    <w:rPr>
      <w:rFonts w:ascii="Segoe UI" w:hAnsi="Segoe UI" w:cs="Segoe UI"/>
      <w:sz w:val="18"/>
      <w:szCs w:val="18"/>
      <w:lang w:eastAsia="zh-CN"/>
    </w:rPr>
  </w:style>
  <w:style w:type="character" w:customStyle="1" w:styleId="af0">
    <w:name w:val="Абзац списка Знак"/>
    <w:rPr>
      <w:rFonts w:ascii="Calibri" w:eastAsia="Calibri" w:hAnsi="Calibri" w:cs="Calibri"/>
      <w:sz w:val="22"/>
      <w:szCs w:val="22"/>
    </w:rPr>
  </w:style>
  <w:style w:type="table" w:styleId="af1">
    <w:name w:val="Table Grid"/>
    <w:basedOn w:val="a1"/>
    <w:uiPriority w:val="59"/>
    <w:pPr>
      <w:widowControl w:val="0"/>
    </w:pPr>
    <w:rPr>
      <w:rFonts w:ascii="Tahoma" w:eastAsia="Tahoma" w:hAnsi="Tahoma" w:cs="Tahoma"/>
      <w:sz w:val="24"/>
      <w:szCs w:val="24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zhero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3078</Words>
  <Characters>17548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Света</dc:creator>
  <cp:keywords/>
  <dc:description/>
  <cp:lastModifiedBy>Булаева А.Ю.</cp:lastModifiedBy>
  <cp:revision>2</cp:revision>
  <cp:lastPrinted>2025-06-27T03:37:00Z</cp:lastPrinted>
  <dcterms:created xsi:type="dcterms:W3CDTF">2025-07-01T04:37:00Z</dcterms:created>
  <dcterms:modified xsi:type="dcterms:W3CDTF">2025-07-01T04:37:00Z</dcterms:modified>
</cp:coreProperties>
</file>